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bookmarkStart w:name="Plani Vjetor" w:id="1"/>
      <w:bookmarkEnd w:id="1"/>
      <w:r>
        <w:rPr>
          <w:b w:val="0"/>
        </w:rPr>
      </w:r>
      <w:r>
        <w:rPr/>
        <w:t>Plani</w:t>
      </w:r>
      <w:r>
        <w:rPr>
          <w:spacing w:val="-4"/>
        </w:rPr>
        <w:t> </w:t>
      </w:r>
      <w:r>
        <w:rPr>
          <w:spacing w:val="-2"/>
        </w:rPr>
        <w:t>Vjetor</w:t>
      </w:r>
    </w:p>
    <w:p>
      <w:pPr>
        <w:pStyle w:val="BodyText"/>
        <w:spacing w:before="90"/>
        <w:rPr>
          <w:b/>
          <w:sz w:val="20"/>
        </w:rPr>
      </w:pPr>
    </w:p>
    <w:tbl>
      <w:tblPr>
        <w:tblW w:w="0" w:type="auto"/>
        <w:jc w:val="left"/>
        <w:tblInd w:w="3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7"/>
        <w:gridCol w:w="2611"/>
        <w:gridCol w:w="2611"/>
        <w:gridCol w:w="2611"/>
        <w:gridCol w:w="4255"/>
      </w:tblGrid>
      <w:tr>
        <w:trPr>
          <w:trHeight w:val="272" w:hRule="atLeast"/>
        </w:trPr>
        <w:tc>
          <w:tcPr>
            <w:tcW w:w="967" w:type="dxa"/>
            <w:vMerge w:val="restart"/>
            <w:tcBorders>
              <w:bottom w:val="single" w:sz="8" w:space="0" w:color="000000"/>
            </w:tcBorders>
            <w:textDirection w:val="btLr"/>
          </w:tcPr>
          <w:p>
            <w:pPr>
              <w:pStyle w:val="TableParagraph"/>
              <w:spacing w:line="302" w:lineRule="exact"/>
              <w:ind w:left="59" w:right="9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Lëndet </w:t>
            </w:r>
            <w:r>
              <w:rPr>
                <w:b/>
                <w:spacing w:val="-10"/>
                <w:sz w:val="24"/>
              </w:rPr>
              <w:t>e </w:t>
            </w:r>
            <w:r>
              <w:rPr>
                <w:b/>
                <w:spacing w:val="-2"/>
                <w:sz w:val="24"/>
              </w:rPr>
              <w:t>fushës</w:t>
            </w:r>
          </w:p>
        </w:tc>
        <w:tc>
          <w:tcPr>
            <w:tcW w:w="7833" w:type="dxa"/>
            <w:gridSpan w:val="3"/>
            <w:tcBorders>
              <w:bottom w:val="single" w:sz="8" w:space="0" w:color="000000"/>
            </w:tcBorders>
          </w:tcPr>
          <w:p>
            <w:pPr>
              <w:pStyle w:val="TableParagraph"/>
              <w:spacing w:line="252" w:lineRule="exact"/>
              <w:ind w:left="688"/>
              <w:rPr>
                <w:b/>
                <w:sz w:val="24"/>
              </w:rPr>
            </w:pPr>
            <w:r>
              <w:rPr>
                <w:b/>
                <w:sz w:val="24"/>
              </w:rPr>
              <w:t>TEMAT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MËSIMORE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TË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SHPËRNDARA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GJATË</w:t>
            </w:r>
            <w:r>
              <w:rPr>
                <w:b/>
                <w:spacing w:val="-2"/>
                <w:sz w:val="24"/>
              </w:rPr>
              <w:t> MUAJVE</w:t>
            </w:r>
          </w:p>
        </w:tc>
        <w:tc>
          <w:tcPr>
            <w:tcW w:w="4255" w:type="dxa"/>
            <w:vMerge w:val="restart"/>
            <w:tcBorders>
              <w:bottom w:val="single" w:sz="8" w:space="0" w:color="000000"/>
            </w:tcBorders>
          </w:tcPr>
          <w:p>
            <w:pPr>
              <w:pStyle w:val="TableParagraph"/>
              <w:spacing w:line="264" w:lineRule="auto" w:before="137"/>
              <w:ind w:left="434" w:right="101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Kontributi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në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rezultatet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të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nxënit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për kompetencat kryesore të shkallës</w:t>
            </w:r>
          </w:p>
        </w:tc>
      </w:tr>
      <w:tr>
        <w:trPr>
          <w:trHeight w:val="284" w:hRule="atLeast"/>
        </w:trPr>
        <w:tc>
          <w:tcPr>
            <w:tcW w:w="967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5" w:lineRule="exact"/>
              <w:ind w:left="58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PERIUDHA</w:t>
            </w:r>
            <w:r>
              <w:rPr>
                <w:b/>
                <w:spacing w:val="52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(I)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5" w:lineRule="exact"/>
              <w:ind w:left="58"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PERIUDHA</w:t>
            </w:r>
            <w:r>
              <w:rPr>
                <w:b/>
                <w:spacing w:val="50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(II)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71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PERIUDHA</w:t>
            </w:r>
            <w:r>
              <w:rPr>
                <w:b/>
                <w:spacing w:val="5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(III)</w:t>
            </w:r>
          </w:p>
        </w:tc>
        <w:tc>
          <w:tcPr>
            <w:tcW w:w="425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4" w:hRule="atLeast"/>
        </w:trPr>
        <w:tc>
          <w:tcPr>
            <w:tcW w:w="967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5" w:lineRule="exact"/>
              <w:ind w:left="5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Shtator-Dhjetor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5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Janar-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Mars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65" w:lineRule="exact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Prill-</w:t>
            </w:r>
            <w:r>
              <w:rPr>
                <w:spacing w:val="-2"/>
                <w:sz w:val="24"/>
              </w:rPr>
              <w:t> Qershor</w:t>
            </w:r>
          </w:p>
        </w:tc>
        <w:tc>
          <w:tcPr>
            <w:tcW w:w="4255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66" w:hRule="atLeast"/>
        </w:trPr>
        <w:tc>
          <w:tcPr>
            <w:tcW w:w="96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extDirection w:val="btLr"/>
          </w:tcPr>
          <w:p>
            <w:pPr>
              <w:pStyle w:val="TableParagraph"/>
              <w:spacing w:before="243"/>
              <w:ind w:left="1526"/>
              <w:rPr>
                <w:sz w:val="40"/>
              </w:rPr>
            </w:pPr>
            <w:r>
              <w:rPr>
                <w:spacing w:val="-2"/>
                <w:sz w:val="40"/>
              </w:rPr>
              <w:t>Histori</w:t>
            </w:r>
          </w:p>
        </w:tc>
        <w:tc>
          <w:tcPr>
            <w:tcW w:w="261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4" w:lineRule="auto" w:before="1"/>
              <w:ind w:left="50" w:right="78"/>
              <w:rPr>
                <w:sz w:val="24"/>
              </w:rPr>
            </w:pPr>
            <w:r>
              <w:rPr>
                <w:sz w:val="24"/>
              </w:rPr>
              <w:t>Qytetërimi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mesjetar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shek. V-XV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(7 orë)</w:t>
            </w:r>
          </w:p>
          <w:p>
            <w:pPr>
              <w:pStyle w:val="TableParagraph"/>
              <w:tabs>
                <w:tab w:pos="2313" w:val="left" w:leader="none"/>
              </w:tabs>
              <w:spacing w:line="264" w:lineRule="auto"/>
              <w:ind w:left="50" w:right="76"/>
              <w:rPr>
                <w:sz w:val="24"/>
              </w:rPr>
            </w:pPr>
            <w:r>
              <w:rPr>
                <w:sz w:val="24"/>
              </w:rPr>
              <w:t>Qytetërimi Bizantin</w:t>
              <w:tab/>
            </w:r>
            <w:r>
              <w:rPr>
                <w:spacing w:val="-6"/>
                <w:sz w:val="24"/>
              </w:rPr>
              <w:t>(3 </w:t>
            </w:r>
            <w:r>
              <w:rPr>
                <w:spacing w:val="-4"/>
                <w:sz w:val="24"/>
              </w:rPr>
              <w:t>orë)</w:t>
            </w:r>
          </w:p>
          <w:p>
            <w:pPr>
              <w:pStyle w:val="TableParagraph"/>
              <w:spacing w:line="274" w:lineRule="exact"/>
              <w:ind w:left="50"/>
              <w:rPr>
                <w:sz w:val="24"/>
              </w:rPr>
            </w:pPr>
            <w:r>
              <w:rPr>
                <w:sz w:val="24"/>
              </w:rPr>
              <w:t>Arbëria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gjatë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shekujve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V-</w:t>
            </w:r>
          </w:p>
          <w:p>
            <w:pPr>
              <w:pStyle w:val="TableParagraph"/>
              <w:tabs>
                <w:tab w:pos="710" w:val="left" w:leader="none"/>
              </w:tabs>
              <w:spacing w:before="24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XIV</w:t>
            </w:r>
            <w:r>
              <w:rPr>
                <w:sz w:val="24"/>
              </w:rPr>
              <w:tab/>
              <w:t>(12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orë)</w:t>
            </w:r>
          </w:p>
        </w:tc>
        <w:tc>
          <w:tcPr>
            <w:tcW w:w="261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4" w:lineRule="auto" w:before="1"/>
              <w:ind w:left="50" w:right="78"/>
              <w:rPr>
                <w:sz w:val="24"/>
              </w:rPr>
            </w:pPr>
            <w:r>
              <w:rPr>
                <w:sz w:val="24"/>
              </w:rPr>
              <w:t>Qytetërimi Arab, Mongolët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dhe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Kinezët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(3 </w:t>
            </w:r>
            <w:r>
              <w:rPr>
                <w:spacing w:val="-4"/>
                <w:sz w:val="24"/>
              </w:rPr>
              <w:t>orë)</w:t>
            </w:r>
          </w:p>
          <w:p>
            <w:pPr>
              <w:pStyle w:val="TableParagraph"/>
              <w:tabs>
                <w:tab w:pos="1874" w:val="left" w:leader="none"/>
              </w:tabs>
              <w:spacing w:line="264" w:lineRule="auto"/>
              <w:ind w:left="50" w:right="70"/>
              <w:rPr>
                <w:sz w:val="24"/>
              </w:rPr>
            </w:pPr>
            <w:r>
              <w:rPr>
                <w:sz w:val="24"/>
              </w:rPr>
              <w:t>Qytetërimi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evropian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gjatë shekujve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XI-</w:t>
            </w:r>
            <w:r>
              <w:rPr>
                <w:spacing w:val="-5"/>
                <w:sz w:val="24"/>
              </w:rPr>
              <w:t>XV</w:t>
            </w:r>
            <w:r>
              <w:rPr>
                <w:sz w:val="24"/>
              </w:rPr>
              <w:tab/>
              <w:t>(8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orë)</w:t>
            </w:r>
          </w:p>
          <w:p>
            <w:pPr>
              <w:pStyle w:val="TableParagraph"/>
              <w:tabs>
                <w:tab w:pos="854" w:val="left" w:leader="none"/>
              </w:tabs>
              <w:spacing w:line="264" w:lineRule="auto"/>
              <w:ind w:left="50" w:right="171" w:firstLine="1260"/>
              <w:rPr>
                <w:sz w:val="24"/>
              </w:rPr>
            </w:pPr>
            <w:r>
              <w:rPr>
                <w:sz w:val="24"/>
              </w:rPr>
              <w:t>Formimi i perandorisë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Osmane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dhe pushtimet në Ballkan (2 </w:t>
            </w:r>
            <w:r>
              <w:rPr>
                <w:spacing w:val="-4"/>
                <w:sz w:val="24"/>
              </w:rPr>
              <w:t>orë)</w:t>
            </w:r>
            <w:r>
              <w:rPr>
                <w:sz w:val="24"/>
              </w:rPr>
              <w:tab/>
              <w:t>Arbëria gjatë shekullit XV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(14 orë, por në këtë periudhë do të mbahen vetëm 4 orë)</w:t>
            </w:r>
          </w:p>
        </w:tc>
        <w:tc>
          <w:tcPr>
            <w:tcW w:w="261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tabs>
                <w:tab w:pos="1094" w:val="left" w:leader="none"/>
              </w:tabs>
              <w:spacing w:line="264" w:lineRule="auto" w:before="1"/>
              <w:ind w:left="50" w:right="313"/>
              <w:rPr>
                <w:sz w:val="24"/>
              </w:rPr>
            </w:pPr>
            <w:r>
              <w:rPr>
                <w:sz w:val="24"/>
              </w:rPr>
              <w:t>Arbëria gjatë shekullit XV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(14 orë, në këtë periudhë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të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mbahen 10 orë)</w:t>
              <w:tab/>
            </w:r>
            <w:r>
              <w:rPr>
                <w:spacing w:val="-2"/>
                <w:sz w:val="24"/>
              </w:rPr>
              <w:t>Humanizmi </w:t>
            </w:r>
            <w:r>
              <w:rPr>
                <w:sz w:val="24"/>
              </w:rPr>
              <w:t>dhe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Rilindja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Evropiane (2 orë)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64" w:lineRule="auto" w:before="1"/>
              <w:ind w:left="50" w:right="391"/>
              <w:rPr>
                <w:sz w:val="24"/>
              </w:rPr>
            </w:pPr>
            <w:r>
              <w:rPr>
                <w:sz w:val="24"/>
              </w:rPr>
              <w:t>Tema: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Qytetërimi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mesjetar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shek.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V-XV Kompetenca- I 1; 2; 3; 4; 6; 8.</w:t>
            </w:r>
          </w:p>
          <w:p>
            <w:pPr>
              <w:pStyle w:val="TableParagraph"/>
              <w:spacing w:line="274" w:lineRule="exact"/>
              <w:ind w:left="50"/>
              <w:rPr>
                <w:sz w:val="24"/>
              </w:rPr>
            </w:pPr>
            <w:r>
              <w:rPr>
                <w:sz w:val="24"/>
              </w:rPr>
              <w:t>Kompetenca-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II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7;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8.</w:t>
            </w:r>
          </w:p>
          <w:p>
            <w:pPr>
              <w:pStyle w:val="TableParagraph"/>
              <w:spacing w:before="26"/>
              <w:ind w:left="50"/>
              <w:rPr>
                <w:sz w:val="24"/>
              </w:rPr>
            </w:pPr>
            <w:r>
              <w:rPr>
                <w:sz w:val="24"/>
              </w:rPr>
              <w:t>Kompetenca-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III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2;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5;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7.</w:t>
            </w:r>
          </w:p>
          <w:p>
            <w:pPr>
              <w:pStyle w:val="TableParagraph"/>
              <w:spacing w:line="264" w:lineRule="auto" w:before="27"/>
              <w:ind w:left="50"/>
              <w:rPr>
                <w:sz w:val="24"/>
              </w:rPr>
            </w:pPr>
            <w:r>
              <w:rPr>
                <w:sz w:val="24"/>
              </w:rPr>
              <w:t>Kompetenca-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IV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Kompetenca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VI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5. Tema: Qytetërimi Bizantin</w:t>
            </w:r>
          </w:p>
          <w:p>
            <w:pPr>
              <w:pStyle w:val="TableParagraph"/>
              <w:spacing w:line="274" w:lineRule="exact"/>
              <w:ind w:left="50"/>
              <w:rPr>
                <w:sz w:val="24"/>
              </w:rPr>
            </w:pPr>
            <w:r>
              <w:rPr>
                <w:sz w:val="24"/>
              </w:rPr>
              <w:t>Kompetenca-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2;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5; </w:t>
            </w:r>
            <w:r>
              <w:rPr>
                <w:spacing w:val="-5"/>
                <w:sz w:val="24"/>
              </w:rPr>
              <w:t>6.</w:t>
            </w:r>
          </w:p>
          <w:p>
            <w:pPr>
              <w:pStyle w:val="TableParagraph"/>
              <w:spacing w:before="26"/>
              <w:ind w:left="50"/>
              <w:rPr>
                <w:sz w:val="24"/>
              </w:rPr>
            </w:pPr>
            <w:r>
              <w:rPr>
                <w:sz w:val="24"/>
              </w:rPr>
              <w:t>Kompetenca-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III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1;</w:t>
            </w:r>
            <w:r>
              <w:rPr>
                <w:spacing w:val="-5"/>
                <w:sz w:val="24"/>
              </w:rPr>
              <w:t> 2.</w:t>
            </w:r>
          </w:p>
          <w:p>
            <w:pPr>
              <w:pStyle w:val="TableParagraph"/>
              <w:spacing w:before="27"/>
              <w:ind w:left="50"/>
              <w:rPr>
                <w:sz w:val="24"/>
              </w:rPr>
            </w:pPr>
            <w:r>
              <w:rPr>
                <w:sz w:val="24"/>
              </w:rPr>
              <w:t>Kompetenca-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2;4.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Kompetenca-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VI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5.</w:t>
            </w:r>
          </w:p>
          <w:p>
            <w:pPr>
              <w:pStyle w:val="TableParagraph"/>
              <w:spacing w:line="264" w:lineRule="auto" w:before="26"/>
              <w:ind w:left="50" w:right="85" w:firstLine="1260"/>
              <w:rPr>
                <w:sz w:val="24"/>
              </w:rPr>
            </w:pPr>
            <w:r>
              <w:rPr>
                <w:sz w:val="24"/>
              </w:rPr>
              <w:t>Tema: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Arbëria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gjatë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shekujve V-XIV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Kompetenca- I 2; 3; 4; 6.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Kompetenca-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II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7;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8.</w:t>
            </w:r>
          </w:p>
          <w:p>
            <w:pPr>
              <w:pStyle w:val="TableParagraph"/>
              <w:spacing w:before="26"/>
              <w:ind w:left="50"/>
              <w:rPr>
                <w:sz w:val="24"/>
              </w:rPr>
            </w:pPr>
            <w:r>
              <w:rPr>
                <w:sz w:val="24"/>
              </w:rPr>
              <w:t>Kompetenca-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III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3;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Kompetenca-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IV</w:t>
            </w:r>
          </w:p>
          <w:p>
            <w:pPr>
              <w:pStyle w:val="TableParagraph"/>
              <w:spacing w:before="27"/>
              <w:ind w:left="50"/>
              <w:rPr>
                <w:sz w:val="24"/>
              </w:rPr>
            </w:pPr>
            <w:r>
              <w:rPr>
                <w:sz w:val="24"/>
              </w:rPr>
              <w:t>4;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Kompetenca-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3; </w:t>
            </w:r>
            <w:r>
              <w:rPr>
                <w:spacing w:val="-5"/>
                <w:sz w:val="24"/>
              </w:rPr>
              <w:t>8.</w:t>
            </w:r>
          </w:p>
        </w:tc>
      </w:tr>
      <w:tr>
        <w:trPr>
          <w:trHeight w:val="3873" w:hRule="atLeast"/>
        </w:trPr>
        <w:tc>
          <w:tcPr>
            <w:tcW w:w="96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4" w:lineRule="auto" w:before="1"/>
              <w:ind w:left="50" w:right="391"/>
              <w:rPr>
                <w:sz w:val="24"/>
              </w:rPr>
            </w:pPr>
            <w:r>
              <w:rPr>
                <w:sz w:val="24"/>
              </w:rPr>
              <w:t>Tema: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Qytetërimi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Arab,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Mongolët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dhe </w:t>
            </w:r>
            <w:r>
              <w:rPr>
                <w:spacing w:val="-2"/>
                <w:sz w:val="24"/>
              </w:rPr>
              <w:t>Kinezët</w:t>
            </w:r>
          </w:p>
          <w:p>
            <w:pPr>
              <w:pStyle w:val="TableParagraph"/>
              <w:spacing w:line="274" w:lineRule="exact"/>
              <w:ind w:left="50"/>
              <w:rPr>
                <w:sz w:val="24"/>
              </w:rPr>
            </w:pPr>
            <w:r>
              <w:rPr>
                <w:sz w:val="24"/>
              </w:rPr>
              <w:t>Kompetenca-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II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5.</w:t>
            </w:r>
          </w:p>
          <w:p>
            <w:pPr>
              <w:pStyle w:val="TableParagraph"/>
              <w:spacing w:before="26"/>
              <w:ind w:left="50"/>
              <w:rPr>
                <w:sz w:val="24"/>
              </w:rPr>
            </w:pPr>
            <w:r>
              <w:rPr>
                <w:sz w:val="24"/>
              </w:rPr>
              <w:t>Kompetenca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II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IV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6.</w:t>
            </w:r>
          </w:p>
          <w:p>
            <w:pPr>
              <w:pStyle w:val="TableParagraph"/>
              <w:tabs>
                <w:tab w:pos="3477" w:val="left" w:leader="none"/>
              </w:tabs>
              <w:spacing w:line="264" w:lineRule="auto" w:before="27"/>
              <w:ind w:left="50" w:right="86"/>
              <w:jc w:val="both"/>
              <w:rPr>
                <w:sz w:val="24"/>
              </w:rPr>
            </w:pPr>
            <w:r>
              <w:rPr>
                <w:sz w:val="24"/>
              </w:rPr>
              <w:t>Kompetenca I 2. II 2; 6. VI 5.</w:t>
              <w:tab/>
            </w:r>
            <w:r>
              <w:rPr>
                <w:spacing w:val="-4"/>
                <w:sz w:val="24"/>
              </w:rPr>
              <w:t>Tema: </w:t>
            </w:r>
            <w:r>
              <w:rPr>
                <w:sz w:val="24"/>
              </w:rPr>
              <w:t>Qytetërimi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evropian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gjatë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shekujve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XI-XV Kompetenca- I 1; 2; 3; 4; 6; 8.</w:t>
            </w:r>
          </w:p>
          <w:p>
            <w:pPr>
              <w:pStyle w:val="TableParagraph"/>
              <w:spacing w:line="272" w:lineRule="exact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Kompetenca-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II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2;3;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7;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8.</w:t>
            </w:r>
          </w:p>
          <w:p>
            <w:pPr>
              <w:pStyle w:val="TableParagraph"/>
              <w:spacing w:before="26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Kompetenca-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III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5;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6.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Kompetenca-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IV</w:t>
            </w:r>
            <w:r>
              <w:rPr>
                <w:spacing w:val="-5"/>
                <w:sz w:val="24"/>
              </w:rPr>
              <w:t> 3;</w:t>
            </w:r>
          </w:p>
          <w:p>
            <w:pPr>
              <w:pStyle w:val="TableParagraph"/>
              <w:spacing w:before="27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4;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7. Kompetenca-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8.</w:t>
            </w:r>
            <w:r>
              <w:rPr>
                <w:spacing w:val="79"/>
                <w:sz w:val="24"/>
              </w:rPr>
              <w:t>   </w:t>
            </w:r>
            <w:r>
              <w:rPr>
                <w:spacing w:val="-2"/>
                <w:sz w:val="24"/>
              </w:rPr>
              <w:t>Kompetenca-</w:t>
            </w:r>
          </w:p>
          <w:p>
            <w:pPr>
              <w:pStyle w:val="TableParagraph"/>
              <w:spacing w:before="26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VI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1; </w:t>
            </w:r>
            <w:r>
              <w:rPr>
                <w:spacing w:val="-5"/>
                <w:sz w:val="24"/>
              </w:rPr>
              <w:t>2.</w:t>
            </w:r>
          </w:p>
          <w:p>
            <w:pPr>
              <w:pStyle w:val="TableParagraph"/>
              <w:spacing w:line="300" w:lineRule="atLeast"/>
              <w:ind w:left="50" w:right="117"/>
              <w:jc w:val="both"/>
              <w:rPr>
                <w:sz w:val="24"/>
              </w:rPr>
            </w:pPr>
            <w:r>
              <w:rPr>
                <w:sz w:val="24"/>
              </w:rPr>
              <w:t>Tema: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Formimi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perandorisë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Osmane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dhe pushtimet në Ballkan</w:t>
            </w:r>
            <w:r>
              <w:rPr>
                <w:spacing w:val="40"/>
                <w:sz w:val="24"/>
              </w:rPr>
              <w:t>  </w:t>
            </w:r>
            <w:r>
              <w:rPr>
                <w:sz w:val="24"/>
              </w:rPr>
              <w:t>Kompetenca- I 3.</w:t>
            </w:r>
          </w:p>
        </w:tc>
      </w:tr>
    </w:tbl>
    <w:p>
      <w:pPr>
        <w:pStyle w:val="TableParagraph"/>
        <w:spacing w:after="0" w:line="300" w:lineRule="atLeast"/>
        <w:jc w:val="both"/>
        <w:rPr>
          <w:sz w:val="24"/>
        </w:rPr>
        <w:sectPr>
          <w:type w:val="continuous"/>
          <w:pgSz w:w="15840" w:h="12240" w:orient="landscape"/>
          <w:pgMar w:top="1020" w:bottom="976" w:left="720" w:right="1080"/>
        </w:sectPr>
      </w:pPr>
    </w:p>
    <w:tbl>
      <w:tblPr>
        <w:tblW w:w="0" w:type="auto"/>
        <w:jc w:val="left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7"/>
        <w:gridCol w:w="2611"/>
        <w:gridCol w:w="2611"/>
        <w:gridCol w:w="2611"/>
        <w:gridCol w:w="4255"/>
      </w:tblGrid>
      <w:tr>
        <w:trPr>
          <w:trHeight w:val="930" w:hRule="atLeast"/>
        </w:trPr>
        <w:tc>
          <w:tcPr>
            <w:tcW w:w="96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11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55" w:type="dxa"/>
            <w:tcBorders>
              <w:top w:val="nil"/>
            </w:tcBorders>
          </w:tcPr>
          <w:p>
            <w:pPr>
              <w:pStyle w:val="TableParagraph"/>
              <w:spacing w:before="61"/>
              <w:ind w:left="41"/>
              <w:rPr>
                <w:sz w:val="24"/>
              </w:rPr>
            </w:pPr>
            <w:r>
              <w:rPr>
                <w:sz w:val="24"/>
              </w:rPr>
              <w:t>Kompetenca-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II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1;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Kompetenca-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III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5"/>
                <w:sz w:val="24"/>
              </w:rPr>
              <w:t>7.</w:t>
            </w:r>
          </w:p>
          <w:p>
            <w:pPr>
              <w:pStyle w:val="TableParagraph"/>
              <w:spacing w:before="27"/>
              <w:ind w:left="41"/>
              <w:rPr>
                <w:sz w:val="24"/>
              </w:rPr>
            </w:pPr>
            <w:r>
              <w:rPr>
                <w:sz w:val="24"/>
              </w:rPr>
              <w:t>Kompetenca-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Kompetenca-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IV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4.</w:t>
            </w:r>
          </w:p>
        </w:tc>
      </w:tr>
      <w:tr>
        <w:trPr>
          <w:trHeight w:val="3052" w:hRule="atLeast"/>
        </w:trPr>
        <w:tc>
          <w:tcPr>
            <w:tcW w:w="9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5" w:type="dxa"/>
          </w:tcPr>
          <w:p>
            <w:pPr>
              <w:pStyle w:val="TableParagraph"/>
              <w:spacing w:line="264" w:lineRule="auto" w:before="1"/>
              <w:ind w:left="41" w:right="974"/>
              <w:rPr>
                <w:sz w:val="24"/>
              </w:rPr>
            </w:pPr>
            <w:r>
              <w:rPr>
                <w:sz w:val="24"/>
              </w:rPr>
              <w:t>Tema: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Arbëria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gjatë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shekullit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XV Kompetenca- I 1; 2; 3; 4; 6..</w:t>
            </w:r>
          </w:p>
          <w:p>
            <w:pPr>
              <w:pStyle w:val="TableParagraph"/>
              <w:spacing w:line="274" w:lineRule="exact"/>
              <w:ind w:left="41"/>
              <w:rPr>
                <w:sz w:val="24"/>
              </w:rPr>
            </w:pPr>
            <w:r>
              <w:rPr>
                <w:sz w:val="24"/>
              </w:rPr>
              <w:t>Kompetenca-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II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1;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6;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7.</w:t>
            </w:r>
          </w:p>
          <w:p>
            <w:pPr>
              <w:pStyle w:val="TableParagraph"/>
              <w:spacing w:before="26"/>
              <w:ind w:left="41"/>
              <w:rPr>
                <w:sz w:val="24"/>
              </w:rPr>
            </w:pPr>
            <w:r>
              <w:rPr>
                <w:sz w:val="24"/>
              </w:rPr>
              <w:t>Kompetenca-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III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1;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5;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6.</w:t>
            </w:r>
          </w:p>
          <w:p>
            <w:pPr>
              <w:pStyle w:val="TableParagraph"/>
              <w:spacing w:before="27"/>
              <w:ind w:left="41"/>
              <w:rPr>
                <w:sz w:val="24"/>
              </w:rPr>
            </w:pPr>
            <w:r>
              <w:rPr>
                <w:sz w:val="24"/>
              </w:rPr>
              <w:t>Kompetenca-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IV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6;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7.</w:t>
            </w:r>
          </w:p>
          <w:p>
            <w:pPr>
              <w:pStyle w:val="TableParagraph"/>
              <w:tabs>
                <w:tab w:pos="2028" w:val="left" w:leader="none"/>
              </w:tabs>
              <w:spacing w:line="264" w:lineRule="auto" w:before="26"/>
              <w:ind w:left="41" w:right="220"/>
              <w:rPr>
                <w:sz w:val="24"/>
              </w:rPr>
            </w:pPr>
            <w:r>
              <w:rPr>
                <w:sz w:val="24"/>
              </w:rPr>
              <w:t>Kompetenca-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V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3;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6;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8.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Kompetenca- VI 2.</w:t>
              <w:tab/>
              <w:t>Tema: Humanizmi dhe Rilindja Evropiane</w:t>
            </w:r>
          </w:p>
          <w:p>
            <w:pPr>
              <w:pStyle w:val="TableParagraph"/>
              <w:spacing w:line="272" w:lineRule="exact"/>
              <w:ind w:left="41"/>
              <w:rPr>
                <w:sz w:val="24"/>
              </w:rPr>
            </w:pPr>
            <w:r>
              <w:rPr>
                <w:sz w:val="24"/>
              </w:rPr>
              <w:t>Kompetenca-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2;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Kompetenca-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II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5"/>
                <w:sz w:val="24"/>
              </w:rPr>
              <w:t>8.</w:t>
            </w:r>
          </w:p>
          <w:p>
            <w:pPr>
              <w:pStyle w:val="TableParagraph"/>
              <w:spacing w:before="27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Kompetenca-III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4"/>
                <w:sz w:val="24"/>
              </w:rPr>
              <w:t>1;6.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type w:val="continuous"/>
          <w:pgSz w:w="15840" w:h="12240" w:orient="landscape"/>
          <w:pgMar w:top="1060" w:bottom="280" w:left="720" w:right="1080"/>
        </w:sectPr>
      </w:pPr>
    </w:p>
    <w:p>
      <w:pPr>
        <w:spacing w:before="77"/>
        <w:ind w:left="1238" w:right="0" w:firstLine="0"/>
        <w:jc w:val="left"/>
        <w:rPr>
          <w:b/>
          <w:sz w:val="12"/>
        </w:rPr>
      </w:pPr>
      <w:bookmarkStart w:name="Shtator-Dhjetor" w:id="2"/>
      <w:bookmarkEnd w:id="2"/>
      <w:r>
        <w:rPr/>
      </w:r>
      <w:r>
        <w:rPr>
          <w:b/>
          <w:spacing w:val="-2"/>
          <w:w w:val="105"/>
          <w:sz w:val="12"/>
        </w:rPr>
        <w:t>Plani</w:t>
      </w:r>
      <w:r>
        <w:rPr>
          <w:b/>
          <w:w w:val="105"/>
          <w:sz w:val="12"/>
        </w:rPr>
        <w:t> </w:t>
      </w:r>
      <w:r>
        <w:rPr>
          <w:b/>
          <w:spacing w:val="-2"/>
          <w:w w:val="105"/>
          <w:sz w:val="12"/>
        </w:rPr>
        <w:t>mësimor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për muajt</w:t>
      </w:r>
      <w:r>
        <w:rPr>
          <w:b/>
          <w:w w:val="105"/>
          <w:sz w:val="12"/>
        </w:rPr>
        <w:t> </w:t>
      </w:r>
      <w:r>
        <w:rPr>
          <w:b/>
          <w:spacing w:val="-2"/>
          <w:w w:val="105"/>
          <w:sz w:val="12"/>
        </w:rPr>
        <w:t>Shtator -</w:t>
      </w:r>
      <w:r>
        <w:rPr>
          <w:b/>
          <w:w w:val="105"/>
          <w:sz w:val="12"/>
        </w:rPr>
        <w:t> </w:t>
      </w:r>
      <w:r>
        <w:rPr>
          <w:b/>
          <w:spacing w:val="-2"/>
          <w:w w:val="105"/>
          <w:sz w:val="12"/>
        </w:rPr>
        <w:t>Dhjetor</w:t>
      </w:r>
    </w:p>
    <w:p>
      <w:pPr>
        <w:pStyle w:val="BodyText"/>
        <w:spacing w:after="1"/>
        <w:rPr>
          <w:b/>
          <w:sz w:val="14"/>
        </w:rPr>
      </w:pPr>
    </w:p>
    <w:tbl>
      <w:tblPr>
        <w:tblW w:w="0" w:type="auto"/>
        <w:jc w:val="left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"/>
        <w:gridCol w:w="4747"/>
        <w:gridCol w:w="1908"/>
        <w:gridCol w:w="305"/>
        <w:gridCol w:w="996"/>
        <w:gridCol w:w="1654"/>
        <w:gridCol w:w="1037"/>
        <w:gridCol w:w="1786"/>
        <w:gridCol w:w="716"/>
      </w:tblGrid>
      <w:tr>
        <w:trPr>
          <w:trHeight w:val="736" w:hRule="atLeast"/>
        </w:trPr>
        <w:tc>
          <w:tcPr>
            <w:tcW w:w="396" w:type="dxa"/>
            <w:textDirection w:val="btLr"/>
          </w:tcPr>
          <w:p>
            <w:pPr>
              <w:pStyle w:val="TableParagraph"/>
              <w:spacing w:line="276" w:lineRule="auto" w:before="24"/>
              <w:ind w:left="112" w:right="95" w:firstLine="67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Temat</w:t>
            </w:r>
            <w:r>
              <w:rPr>
                <w:b/>
                <w:spacing w:val="40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mësimore</w:t>
            </w:r>
          </w:p>
        </w:tc>
        <w:tc>
          <w:tcPr>
            <w:tcW w:w="4747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24"/>
              <w:rPr>
                <w:b/>
                <w:sz w:val="12"/>
              </w:rPr>
            </w:pPr>
          </w:p>
          <w:p>
            <w:pPr>
              <w:pStyle w:val="TableParagraph"/>
              <w:ind w:left="2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Rezultatet</w:t>
            </w:r>
            <w:r>
              <w:rPr>
                <w:b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e</w:t>
            </w:r>
            <w:r>
              <w:rPr>
                <w:b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të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nxënit</w:t>
            </w:r>
            <w:r>
              <w:rPr>
                <w:b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për</w:t>
            </w:r>
            <w:r>
              <w:rPr>
                <w:b/>
                <w:spacing w:val="-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tema</w:t>
            </w:r>
            <w:r>
              <w:rPr>
                <w:b/>
                <w:spacing w:val="1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mësimore</w:t>
            </w:r>
          </w:p>
        </w:tc>
        <w:tc>
          <w:tcPr>
            <w:tcW w:w="1908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24"/>
              <w:rPr>
                <w:b/>
                <w:sz w:val="12"/>
              </w:rPr>
            </w:pPr>
          </w:p>
          <w:p>
            <w:pPr>
              <w:pStyle w:val="TableParagraph"/>
              <w:ind w:left="2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Njësitë</w:t>
            </w:r>
            <w:r>
              <w:rPr>
                <w:b/>
                <w:spacing w:val="3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Mësimore</w:t>
            </w:r>
          </w:p>
        </w:tc>
        <w:tc>
          <w:tcPr>
            <w:tcW w:w="305" w:type="dxa"/>
            <w:textDirection w:val="btLr"/>
          </w:tcPr>
          <w:p>
            <w:pPr>
              <w:pStyle w:val="TableParagraph"/>
              <w:spacing w:before="77"/>
              <w:ind w:left="24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Orët</w:t>
            </w:r>
          </w:p>
        </w:tc>
        <w:tc>
          <w:tcPr>
            <w:tcW w:w="996" w:type="dxa"/>
          </w:tcPr>
          <w:p>
            <w:pPr>
              <w:pStyle w:val="TableParagraph"/>
              <w:spacing w:line="276" w:lineRule="auto" w:before="7"/>
              <w:ind w:left="21" w:right="18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Koha</w:t>
            </w:r>
            <w:r>
              <w:rPr>
                <w:b/>
                <w:spacing w:val="-8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e</w:t>
            </w:r>
            <w:r>
              <w:rPr>
                <w:b/>
                <w:spacing w:val="40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nevojshme</w:t>
            </w:r>
            <w:r>
              <w:rPr>
                <w:b/>
                <w:spacing w:val="40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mësimore</w:t>
            </w:r>
            <w:r>
              <w:rPr>
                <w:b/>
                <w:spacing w:val="8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(orë</w:t>
            </w:r>
            <w:r>
              <w:rPr>
                <w:b/>
                <w:spacing w:val="40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mësimore)</w:t>
            </w:r>
          </w:p>
        </w:tc>
        <w:tc>
          <w:tcPr>
            <w:tcW w:w="1654" w:type="dxa"/>
          </w:tcPr>
          <w:p>
            <w:pPr>
              <w:pStyle w:val="TableParagraph"/>
              <w:spacing w:before="7"/>
              <w:ind w:left="2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Metodologjia</w:t>
            </w:r>
            <w:r>
              <w:rPr>
                <w:b/>
                <w:spacing w:val="3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e</w:t>
            </w:r>
            <w:r>
              <w:rPr>
                <w:b/>
                <w:spacing w:val="2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mësimdhënies</w:t>
            </w:r>
          </w:p>
        </w:tc>
        <w:tc>
          <w:tcPr>
            <w:tcW w:w="1037" w:type="dxa"/>
          </w:tcPr>
          <w:p>
            <w:pPr>
              <w:pStyle w:val="TableParagraph"/>
              <w:spacing w:line="276" w:lineRule="auto" w:before="7"/>
              <w:ind w:left="21" w:right="216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Metodologjia</w:t>
            </w:r>
            <w:r>
              <w:rPr>
                <w:b/>
                <w:spacing w:val="-6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e</w:t>
            </w:r>
            <w:r>
              <w:rPr>
                <w:b/>
                <w:spacing w:val="40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vlerësimit</w:t>
            </w:r>
          </w:p>
        </w:tc>
        <w:tc>
          <w:tcPr>
            <w:tcW w:w="1786" w:type="dxa"/>
          </w:tcPr>
          <w:p>
            <w:pPr>
              <w:pStyle w:val="TableParagraph"/>
              <w:spacing w:line="276" w:lineRule="auto" w:before="7"/>
              <w:ind w:left="20" w:right="56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Ndërlidhja me lëndë tjera</w:t>
            </w:r>
            <w:r>
              <w:rPr>
                <w:b/>
                <w:spacing w:val="40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mësimore, me çështjet</w:t>
            </w:r>
            <w:r>
              <w:rPr>
                <w:b/>
                <w:spacing w:val="40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ndërkurrikulare</w:t>
            </w:r>
            <w:r>
              <w:rPr>
                <w:b/>
                <w:spacing w:val="-6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dhe</w:t>
            </w:r>
            <w:r>
              <w:rPr>
                <w:b/>
                <w:spacing w:val="-6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me</w:t>
            </w:r>
            <w:r>
              <w:rPr>
                <w:b/>
                <w:spacing w:val="-6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situatat</w:t>
            </w:r>
            <w:r>
              <w:rPr>
                <w:b/>
                <w:spacing w:val="40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jetësore</w:t>
            </w:r>
          </w:p>
        </w:tc>
        <w:tc>
          <w:tcPr>
            <w:tcW w:w="716" w:type="dxa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24"/>
              <w:rPr>
                <w:b/>
                <w:sz w:val="12"/>
              </w:rPr>
            </w:pPr>
          </w:p>
          <w:p>
            <w:pPr>
              <w:pStyle w:val="TableParagraph"/>
              <w:ind w:left="140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Burimet</w:t>
            </w:r>
          </w:p>
        </w:tc>
      </w:tr>
      <w:tr>
        <w:trPr>
          <w:trHeight w:val="1365" w:hRule="atLeast"/>
        </w:trPr>
        <w:tc>
          <w:tcPr>
            <w:tcW w:w="396" w:type="dxa"/>
            <w:vMerge w:val="restart"/>
            <w:textDirection w:val="btLr"/>
          </w:tcPr>
          <w:p>
            <w:pPr>
              <w:pStyle w:val="TableParagraph"/>
              <w:spacing w:before="123"/>
              <w:ind w:left="16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Qytetërimi</w:t>
            </w:r>
            <w:r>
              <w:rPr>
                <w:b/>
                <w:spacing w:val="4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mesjetar</w:t>
            </w:r>
            <w:r>
              <w:rPr>
                <w:b/>
                <w:spacing w:val="5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shek.</w:t>
            </w:r>
            <w:r>
              <w:rPr>
                <w:b/>
                <w:spacing w:val="6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V-</w:t>
            </w:r>
            <w:r>
              <w:rPr>
                <w:b/>
                <w:spacing w:val="-5"/>
                <w:w w:val="105"/>
                <w:sz w:val="12"/>
              </w:rPr>
              <w:t>XV</w:t>
            </w:r>
          </w:p>
        </w:tc>
        <w:tc>
          <w:tcPr>
            <w:tcW w:w="4747" w:type="dxa"/>
            <w:vMerge w:val="restart"/>
          </w:tcPr>
          <w:p>
            <w:pPr>
              <w:pStyle w:val="TableParagraph"/>
              <w:spacing w:line="276" w:lineRule="auto" w:before="5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Analizon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rolin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kishës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shoqërinë</w:t>
            </w:r>
            <w:r>
              <w:rPr>
                <w:spacing w:val="9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identifikon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disa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nga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urdhëratë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kryesor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fetar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përshkruan inkuizicionin si mënyrë e luftimit të oponencës ndaj saj.</w:t>
            </w:r>
          </w:p>
          <w:p>
            <w:pPr>
              <w:pStyle w:val="TableParagraph"/>
              <w:spacing w:line="137" w:lineRule="exact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Shpjegon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veçoritë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kryesore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të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feudalizmit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dhe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arsyet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lindjes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së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shtresave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të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reja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shoqërore.</w:t>
            </w:r>
          </w:p>
          <w:p>
            <w:pPr>
              <w:pStyle w:val="TableParagraph"/>
              <w:tabs>
                <w:tab w:pos="3001" w:val="left" w:leader="none"/>
              </w:tabs>
              <w:spacing w:line="276" w:lineRule="auto" w:before="20"/>
              <w:ind w:left="21" w:right="158" w:firstLine="2964"/>
              <w:rPr>
                <w:sz w:val="12"/>
              </w:rPr>
            </w:pPr>
            <w:r>
              <w:rPr>
                <w:w w:val="105"/>
                <w:sz w:val="12"/>
              </w:rPr>
              <w:t>Përshkruan rrethanat e krijimit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fuqizimit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shtetit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Frank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vlerëson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rolin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Karlit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Madh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formimin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Perandorisë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së Shenjtë Romake.</w:t>
            </w:r>
            <w:r>
              <w:rPr>
                <w:sz w:val="12"/>
              </w:rPr>
              <w:tab/>
            </w:r>
            <w:r>
              <w:rPr>
                <w:w w:val="105"/>
                <w:sz w:val="12"/>
              </w:rPr>
              <w:t>Identifikon kodet juridike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evropiane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bizantine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përshkruan rolin 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tyre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në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organizimin 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shoqërisë.</w:t>
            </w:r>
          </w:p>
          <w:p>
            <w:pPr>
              <w:pStyle w:val="TableParagraph"/>
              <w:spacing w:line="276" w:lineRule="auto"/>
              <w:ind w:left="21" w:right="158" w:firstLine="280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Përshkruan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invazionet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vikingëve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analizon</w:t>
            </w:r>
            <w:r>
              <w:rPr>
                <w:spacing w:val="3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rrjedhojat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tyre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në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rrafshin shoqëror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politik në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Evropë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më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gjerë.</w:t>
            </w:r>
          </w:p>
          <w:p>
            <w:pPr>
              <w:pStyle w:val="TableParagraph"/>
              <w:tabs>
                <w:tab w:pos="2786" w:val="left" w:leader="none"/>
              </w:tabs>
              <w:spacing w:line="276" w:lineRule="auto"/>
              <w:ind w:left="21" w:right="158" w:firstLine="2433"/>
              <w:rPr>
                <w:sz w:val="12"/>
              </w:rPr>
            </w:pPr>
            <w:r>
              <w:rPr>
                <w:w w:val="105"/>
                <w:sz w:val="12"/>
              </w:rPr>
              <w:t>Shpjegon disa nga shkaqet e dyndjeve të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popujve,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rrjedhojat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ngulitjeve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të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tyre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në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Evropë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identifikon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formacionet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reja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shtetërore.</w:t>
            </w:r>
            <w:r>
              <w:rPr>
                <w:sz w:val="12"/>
              </w:rPr>
              <w:tab/>
            </w:r>
            <w:r>
              <w:rPr>
                <w:spacing w:val="-2"/>
                <w:w w:val="105"/>
                <w:sz w:val="12"/>
              </w:rPr>
              <w:t>Përkufizon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rrethanat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dyndjeve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dhe</w:t>
            </w:r>
          </w:p>
          <w:p>
            <w:pPr>
              <w:pStyle w:val="TableParagraph"/>
              <w:spacing w:line="96" w:lineRule="exact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ngulitjeve</w:t>
            </w:r>
            <w:r>
              <w:rPr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të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sllavëve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në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Evropën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Juglindore</w:t>
            </w:r>
          </w:p>
        </w:tc>
        <w:tc>
          <w:tcPr>
            <w:tcW w:w="1908" w:type="dxa"/>
            <w:vMerge w:val="restart"/>
          </w:tcPr>
          <w:p>
            <w:pPr>
              <w:pStyle w:val="TableParagraph"/>
              <w:spacing w:line="276" w:lineRule="auto" w:before="5"/>
              <w:ind w:left="21" w:right="295" w:firstLine="3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Periudha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mesjetës-lindja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shoqërisë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feudale</w:t>
            </w:r>
          </w:p>
          <w:p>
            <w:pPr>
              <w:pStyle w:val="TableParagraph"/>
              <w:spacing w:line="276" w:lineRule="auto"/>
              <w:ind w:left="21" w:right="295" w:firstLine="31"/>
              <w:rPr>
                <w:sz w:val="12"/>
              </w:rPr>
            </w:pPr>
            <w:r>
              <w:rPr>
                <w:w w:val="105"/>
                <w:sz w:val="12"/>
              </w:rPr>
              <w:t>Jeta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përditshme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njerëzve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në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mesjetën e hershme</w:t>
            </w:r>
          </w:p>
          <w:p>
            <w:pPr>
              <w:pStyle w:val="TableParagraph"/>
              <w:spacing w:line="276" w:lineRule="auto"/>
              <w:ind w:left="21" w:right="137"/>
              <w:rPr>
                <w:sz w:val="12"/>
              </w:rPr>
            </w:pPr>
            <w:r>
              <w:rPr>
                <w:w w:val="105"/>
                <w:sz w:val="12"/>
              </w:rPr>
              <w:t>Familja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periudhën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mesjetës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së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hershme</w:t>
            </w:r>
          </w:p>
          <w:p>
            <w:pPr>
              <w:pStyle w:val="TableParagraph"/>
              <w:spacing w:line="276" w:lineRule="auto"/>
              <w:ind w:left="21" w:right="295" w:firstLine="31"/>
              <w:rPr>
                <w:sz w:val="12"/>
              </w:rPr>
            </w:pPr>
            <w:r>
              <w:rPr>
                <w:w w:val="105"/>
                <w:sz w:val="12"/>
              </w:rPr>
              <w:t>Dyndjet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popujve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në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Evropë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Frankët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formojnë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shtetin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tyre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Vikingët</w:t>
            </w:r>
          </w:p>
          <w:p>
            <w:pPr>
              <w:pStyle w:val="TableParagraph"/>
              <w:spacing w:line="137" w:lineRule="exact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Dyndjet 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sllavëve</w:t>
            </w:r>
          </w:p>
        </w:tc>
        <w:tc>
          <w:tcPr>
            <w:tcW w:w="305" w:type="dxa"/>
            <w:vMerge w:val="restart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08"/>
              <w:rPr>
                <w:b/>
                <w:sz w:val="12"/>
              </w:rPr>
            </w:pPr>
          </w:p>
          <w:p>
            <w:pPr>
              <w:pStyle w:val="TableParagraph"/>
              <w:ind w:left="17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7</w:t>
            </w:r>
          </w:p>
        </w:tc>
        <w:tc>
          <w:tcPr>
            <w:tcW w:w="996" w:type="dxa"/>
            <w:vMerge w:val="restart"/>
            <w:tcBorders>
              <w:bottom w:val="nil"/>
            </w:tcBorders>
            <w:textDirection w:val="btLr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67"/>
              <w:rPr>
                <w:b/>
                <w:sz w:val="12"/>
              </w:rPr>
            </w:pPr>
          </w:p>
          <w:p>
            <w:pPr>
              <w:pStyle w:val="TableParagraph"/>
              <w:spacing w:line="276" w:lineRule="auto"/>
              <w:ind w:left="64" w:right="45" w:firstLine="321"/>
              <w:rPr>
                <w:sz w:val="12"/>
              </w:rPr>
            </w:pPr>
            <w:r>
              <w:rPr>
                <w:w w:val="105"/>
                <w:sz w:val="12"/>
              </w:rPr>
              <w:t>Gjithsej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31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orë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mësimore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prej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tyre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22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orë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zhvillim,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të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tjerat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mund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të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shfrytëzohen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për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përforcim,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projekte,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video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dokumentar,vlerësim,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etj..</w:t>
            </w:r>
          </w:p>
        </w:tc>
        <w:tc>
          <w:tcPr>
            <w:tcW w:w="1654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76" w:lineRule="auto" w:before="5"/>
              <w:ind w:left="21" w:right="6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Përdorim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teknikave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ndryshme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të mësimdhënies dhe nxënies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si: Stuhi mendimesh, Vija 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vlerave,</w:t>
            </w:r>
            <w:r>
              <w:rPr>
                <w:spacing w:val="1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Di,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dua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di,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mësova,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Xhiksou I, Ndërthurjes II,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Diagrami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Venit,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Pesëvargshi,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Kubimi, Rrjeti i diskutimit,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Shkrim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lirë,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ese,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Ruaje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fjalën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fundit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për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mua,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etj.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Diskutimi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të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nxënit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bashkëpunim</w:t>
            </w:r>
          </w:p>
        </w:tc>
        <w:tc>
          <w:tcPr>
            <w:tcW w:w="1037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76" w:lineRule="auto" w:before="5"/>
              <w:ind w:left="21" w:right="7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Vlerësim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permanent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përmes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Vëzhgimit,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Vlerësim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ndërsjelltë,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Vlerësim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për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ndërmarrësi,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Idetë,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Aktivitetet,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ese,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test,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projekte,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bashkëpunimit,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detyra,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kuize,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prezantime,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hulumtime,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etj..</w:t>
            </w:r>
          </w:p>
        </w:tc>
        <w:tc>
          <w:tcPr>
            <w:tcW w:w="1786" w:type="dxa"/>
            <w:vMerge w:val="restart"/>
          </w:tcPr>
          <w:p>
            <w:pPr>
              <w:pStyle w:val="TableParagraph"/>
              <w:spacing w:line="276" w:lineRule="auto" w:before="5"/>
              <w:ind w:left="20" w:right="120"/>
              <w:rPr>
                <w:sz w:val="12"/>
              </w:rPr>
            </w:pPr>
            <w:r>
              <w:rPr>
                <w:w w:val="105"/>
                <w:sz w:val="12"/>
              </w:rPr>
              <w:t>Hulumtimeve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internet,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lëndës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së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gjeografisë,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edukatës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qytetare,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biologji,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ekonomi,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jurispodencë,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art, histori e artit, numizmatikë,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arkeologji, gjuhë shqipe,</w:t>
            </w:r>
          </w:p>
        </w:tc>
        <w:tc>
          <w:tcPr>
            <w:tcW w:w="716" w:type="dxa"/>
          </w:tcPr>
          <w:p>
            <w:pPr>
              <w:pStyle w:val="TableParagraph"/>
              <w:spacing w:line="276" w:lineRule="auto" w:before="5"/>
              <w:ind w:left="2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Teksti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shkollor,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fletore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pune,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burimet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nga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interneti,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etj..</w:t>
            </w:r>
          </w:p>
        </w:tc>
      </w:tr>
      <w:tr>
        <w:trPr>
          <w:trHeight w:val="647" w:hRule="atLeast"/>
        </w:trPr>
        <w:tc>
          <w:tcPr>
            <w:tcW w:w="39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048" w:hRule="atLeast"/>
        </w:trPr>
        <w:tc>
          <w:tcPr>
            <w:tcW w:w="396" w:type="dxa"/>
            <w:vMerge w:val="restart"/>
            <w:textDirection w:val="btLr"/>
          </w:tcPr>
          <w:p>
            <w:pPr>
              <w:pStyle w:val="TableParagraph"/>
              <w:spacing w:before="123"/>
              <w:ind w:left="319"/>
              <w:rPr>
                <w:b/>
                <w:sz w:val="12"/>
              </w:rPr>
            </w:pPr>
            <w:r>
              <w:rPr>
                <w:b/>
                <w:sz w:val="12"/>
              </w:rPr>
              <w:t>Qytetërimi</w:t>
            </w:r>
            <w:r>
              <w:rPr>
                <w:b/>
                <w:spacing w:val="12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Bizantin</w:t>
            </w:r>
          </w:p>
        </w:tc>
        <w:tc>
          <w:tcPr>
            <w:tcW w:w="4747" w:type="dxa"/>
            <w:vMerge w:val="restart"/>
          </w:tcPr>
          <w:p>
            <w:pPr>
              <w:pStyle w:val="TableParagraph"/>
              <w:spacing w:line="276" w:lineRule="auto" w:before="5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Përshkruan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faktorët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që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ndikuan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ngritjen,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forcimin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zgjerimin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Bizantit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vlerëson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kontributin e Justinianit si perandor reformator.</w:t>
            </w:r>
          </w:p>
          <w:p>
            <w:pPr>
              <w:pStyle w:val="TableParagraph"/>
              <w:spacing w:line="276" w:lineRule="auto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Identifikon</w:t>
            </w:r>
            <w:r>
              <w:rPr>
                <w:spacing w:val="1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shkaqet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që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ndikuan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dobësimin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Bizantit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dallon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faktorët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brendshëm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të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jashtëm që ndikuan në rënien e tij.</w:t>
            </w:r>
          </w:p>
          <w:p>
            <w:pPr>
              <w:pStyle w:val="TableParagraph"/>
              <w:spacing w:line="276" w:lineRule="auto"/>
              <w:ind w:left="21" w:right="81"/>
              <w:rPr>
                <w:sz w:val="12"/>
              </w:rPr>
            </w:pPr>
            <w:r>
              <w:rPr>
                <w:w w:val="105"/>
                <w:sz w:val="12"/>
              </w:rPr>
              <w:t>Identifikon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kodet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juridike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evropiane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bizantine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përshkruan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rolin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tyre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organizimin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shoqërisë.</w:t>
            </w:r>
          </w:p>
          <w:p>
            <w:pPr>
              <w:pStyle w:val="TableParagraph"/>
              <w:spacing w:line="276" w:lineRule="auto"/>
              <w:ind w:left="21" w:right="15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Identifikon avancimet shkencore, teknike-teknologjike gjatë mesjetës dhe shpjegon ndikimin</w:t>
            </w:r>
            <w:r>
              <w:rPr>
                <w:spacing w:val="8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 tyre në shoqëri.</w:t>
            </w:r>
          </w:p>
          <w:p>
            <w:pPr>
              <w:pStyle w:val="TableParagraph"/>
              <w:spacing w:line="276" w:lineRule="auto"/>
              <w:ind w:left="21" w:right="126"/>
              <w:rPr>
                <w:sz w:val="12"/>
              </w:rPr>
            </w:pPr>
            <w:r>
              <w:rPr>
                <w:w w:val="105"/>
                <w:sz w:val="12"/>
              </w:rPr>
              <w:t>Identifikon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personalitetet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spikatura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nga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fusha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artit,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kulturës,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shkencës,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teknologjisë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politikës, në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Mesjetë, dhe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vlerëson veprimtarinë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kontributin 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tyre.</w:t>
            </w:r>
          </w:p>
        </w:tc>
        <w:tc>
          <w:tcPr>
            <w:tcW w:w="1908" w:type="dxa"/>
            <w:vMerge w:val="restart"/>
          </w:tcPr>
          <w:p>
            <w:pPr>
              <w:pStyle w:val="TableParagraph"/>
              <w:spacing w:line="276" w:lineRule="auto" w:before="5"/>
              <w:ind w:left="21" w:right="43"/>
              <w:rPr>
                <w:sz w:val="12"/>
              </w:rPr>
            </w:pPr>
            <w:r>
              <w:rPr>
                <w:w w:val="105"/>
                <w:sz w:val="12"/>
              </w:rPr>
              <w:t>Perandoria romake e lindjes -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Bizanti gjatë shekujve V-XI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Edukimi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arsimimi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</w:t>
            </w:r>
            <w:r>
              <w:rPr>
                <w:spacing w:val="1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njerëzve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në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perandorinë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bizantine</w:t>
            </w:r>
          </w:p>
          <w:p>
            <w:pPr>
              <w:pStyle w:val="TableParagraph"/>
              <w:spacing w:line="276" w:lineRule="auto"/>
              <w:ind w:left="21" w:right="69" w:firstLine="31"/>
              <w:rPr>
                <w:sz w:val="12"/>
              </w:rPr>
            </w:pPr>
            <w:r>
              <w:rPr>
                <w:w w:val="105"/>
                <w:sz w:val="12"/>
              </w:rPr>
              <w:t>Personalitete të shquara të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perandorisë bizantine gjatë shekujve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V-XII</w:t>
            </w:r>
          </w:p>
        </w:tc>
        <w:tc>
          <w:tcPr>
            <w:tcW w:w="305" w:type="dxa"/>
            <w:vMerge w:val="restart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76"/>
              <w:rPr>
                <w:b/>
                <w:sz w:val="12"/>
              </w:rPr>
            </w:pPr>
          </w:p>
          <w:p>
            <w:pPr>
              <w:pStyle w:val="TableParagraph"/>
              <w:ind w:left="17"/>
              <w:jc w:val="center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  <w:tc>
          <w:tcPr>
            <w:tcW w:w="996" w:type="dxa"/>
            <w:vMerge/>
            <w:tcBorders>
              <w:top w:val="nil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623" w:hRule="atLeast"/>
        </w:trPr>
        <w:tc>
          <w:tcPr>
            <w:tcW w:w="39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pStyle w:val="TableParagraph"/>
        <w:spacing w:after="0"/>
        <w:rPr>
          <w:sz w:val="12"/>
        </w:rPr>
        <w:sectPr>
          <w:pgSz w:w="15840" w:h="12240" w:orient="landscape"/>
          <w:pgMar w:top="1020" w:bottom="280" w:left="720" w:right="1080"/>
        </w:sectPr>
      </w:pPr>
    </w:p>
    <w:tbl>
      <w:tblPr>
        <w:tblW w:w="0" w:type="auto"/>
        <w:jc w:val="left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"/>
        <w:gridCol w:w="4747"/>
        <w:gridCol w:w="1908"/>
        <w:gridCol w:w="305"/>
        <w:gridCol w:w="996"/>
        <w:gridCol w:w="1654"/>
        <w:gridCol w:w="1037"/>
        <w:gridCol w:w="1786"/>
        <w:gridCol w:w="716"/>
      </w:tblGrid>
      <w:tr>
        <w:trPr>
          <w:trHeight w:val="1432" w:hRule="atLeast"/>
        </w:trPr>
        <w:tc>
          <w:tcPr>
            <w:tcW w:w="396" w:type="dxa"/>
            <w:vMerge w:val="restart"/>
            <w:tcBorders>
              <w:bottom w:val="nil"/>
            </w:tcBorders>
            <w:textDirection w:val="btLr"/>
          </w:tcPr>
          <w:p>
            <w:pPr>
              <w:pStyle w:val="TableParagraph"/>
              <w:spacing w:before="123"/>
              <w:ind w:left="15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Arbëria</w:t>
            </w:r>
            <w:r>
              <w:rPr>
                <w:b/>
                <w:spacing w:val="-8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gjatë</w:t>
            </w:r>
            <w:r>
              <w:rPr>
                <w:b/>
                <w:spacing w:val="-8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shekujve</w:t>
            </w:r>
            <w:r>
              <w:rPr>
                <w:b/>
                <w:spacing w:val="-7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V-</w:t>
            </w:r>
            <w:r>
              <w:rPr>
                <w:b/>
                <w:spacing w:val="-5"/>
                <w:w w:val="105"/>
                <w:sz w:val="12"/>
              </w:rPr>
              <w:t>XIV</w:t>
            </w:r>
          </w:p>
        </w:tc>
        <w:tc>
          <w:tcPr>
            <w:tcW w:w="4747" w:type="dxa"/>
            <w:vMerge w:val="restart"/>
          </w:tcPr>
          <w:p>
            <w:pPr>
              <w:pStyle w:val="TableParagraph"/>
              <w:spacing w:line="276" w:lineRule="auto" w:before="5"/>
              <w:ind w:left="21" w:right="22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Përkufizon shtrirjen territoriale të arbërve dhe identifikon veçoritë kulturore dhe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marrëdhëniet shoqërore tek ta.</w:t>
            </w:r>
          </w:p>
          <w:p>
            <w:pPr>
              <w:pStyle w:val="TableParagraph"/>
              <w:spacing w:line="276" w:lineRule="auto"/>
              <w:ind w:left="21" w:right="222" w:firstLine="343"/>
              <w:rPr>
                <w:sz w:val="12"/>
              </w:rPr>
            </w:pPr>
            <w:r>
              <w:rPr>
                <w:w w:val="105"/>
                <w:sz w:val="12"/>
              </w:rPr>
              <w:t>Dallon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elementet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kryesore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të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trashëgimisë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kulturore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iliro-arbërore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vlerëson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rëndësinë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tyre.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Ilustron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aspekte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jetës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së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përditshme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shtresave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ndryshme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shoqërore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(fshat, qytet) në botën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mesjetare.</w:t>
            </w:r>
          </w:p>
          <w:p>
            <w:pPr>
              <w:pStyle w:val="TableParagraph"/>
              <w:spacing w:line="276" w:lineRule="auto"/>
              <w:ind w:left="21" w:firstLine="249"/>
              <w:rPr>
                <w:sz w:val="12"/>
              </w:rPr>
            </w:pPr>
            <w:r>
              <w:rPr>
                <w:w w:val="105"/>
                <w:sz w:val="12"/>
              </w:rPr>
              <w:t>Përshkruan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pozitën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iliro-arbërve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pasojë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ndarjes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Perandorisë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Romake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(Vija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Teodosit) dhe shqyrton rrjedhojat e ndarjes së Kishës (1054) tek ta.</w:t>
            </w:r>
          </w:p>
          <w:p>
            <w:pPr>
              <w:pStyle w:val="TableParagraph"/>
              <w:spacing w:line="276" w:lineRule="auto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Përshkruan reformat politike-administrative dhe shoqërore të Perandorisë Romake të Lindjes-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Bizantit, dhe diskuton</w:t>
            </w:r>
            <w:r>
              <w:rPr>
                <w:spacing w:val="3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për pozitën e arbërve brenda këtij sistemi.</w:t>
            </w:r>
          </w:p>
          <w:p>
            <w:pPr>
              <w:pStyle w:val="TableParagraph"/>
              <w:spacing w:line="276" w:lineRule="auto" w:before="14"/>
              <w:ind w:left="21" w:right="126"/>
              <w:rPr>
                <w:sz w:val="12"/>
              </w:rPr>
            </w:pPr>
            <w:r>
              <w:rPr>
                <w:w w:val="105"/>
                <w:sz w:val="12"/>
              </w:rPr>
              <w:t>Identifikon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personalitetet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spikatura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nga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fusha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artit,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kulturës,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shkencës,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teknologjisë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politikës, në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Mesjetë, dhe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vlerëson veprimtarinë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kontributin 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tyre.</w:t>
            </w:r>
          </w:p>
          <w:p>
            <w:pPr>
              <w:pStyle w:val="TableParagraph"/>
              <w:spacing w:line="276" w:lineRule="auto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Përshkruan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faktorët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që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ndikuan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ngritjen,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forcimin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zgjerimin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Bizantit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vlerëson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kontributin e Justinianit si perandor reformator.</w:t>
            </w:r>
          </w:p>
          <w:p>
            <w:pPr>
              <w:pStyle w:val="TableParagraph"/>
              <w:spacing w:line="276" w:lineRule="auto"/>
              <w:ind w:left="21" w:right="81"/>
              <w:rPr>
                <w:sz w:val="12"/>
              </w:rPr>
            </w:pPr>
            <w:r>
              <w:rPr>
                <w:w w:val="105"/>
                <w:sz w:val="12"/>
              </w:rPr>
              <w:t>Identifikon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kodet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juridike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evropiane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bizantine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përshkruan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rolin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tyre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organizimin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shoqërisë.</w:t>
            </w:r>
          </w:p>
          <w:p>
            <w:pPr>
              <w:pStyle w:val="TableParagraph"/>
              <w:spacing w:line="276" w:lineRule="auto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Shpjegon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veçoritë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kryesore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të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feudalizmit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arsyet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lindjes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së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shtresave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të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reja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shoqërore.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Identifikon shtresat shoqërore, marrëdhëniet ndërmjet tyre, dhe evidencon të drejtat, obligimet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 përgjegjësitë e tyre.</w:t>
            </w:r>
          </w:p>
          <w:p>
            <w:pPr>
              <w:pStyle w:val="TableParagraph"/>
              <w:spacing w:line="276" w:lineRule="auto" w:before="22"/>
              <w:ind w:left="21" w:right="15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Identifikon marrëdhëniet e fuqive të kohës, rivalitetin dhe konfliktet e armatosura midis tyre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 rrjedhojat për shoqërinë evropiane.</w:t>
            </w:r>
          </w:p>
          <w:p>
            <w:pPr>
              <w:pStyle w:val="TableParagraph"/>
              <w:spacing w:line="276" w:lineRule="auto"/>
              <w:ind w:left="21" w:right="158"/>
              <w:rPr>
                <w:sz w:val="12"/>
              </w:rPr>
            </w:pPr>
            <w:r>
              <w:rPr>
                <w:w w:val="105"/>
                <w:sz w:val="12"/>
              </w:rPr>
              <w:t>Analizon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rolin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kishës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shoqërinë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mesjetare,</w:t>
            </w:r>
            <w:r>
              <w:rPr>
                <w:spacing w:val="9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identifikon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disa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nga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urdhëratë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kryesor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fetar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 përshkruan inkuizicionin si mënyrë e luftimit të oponencës ndaj saj.</w:t>
            </w:r>
          </w:p>
          <w:p>
            <w:pPr>
              <w:pStyle w:val="TableParagraph"/>
              <w:spacing w:line="276" w:lineRule="auto"/>
              <w:ind w:left="21" w:right="448" w:firstLine="6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Përshkruan reformat politike-administrative dhe shoqërore të Perandorisë Romake të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Lindjes-Bizantit, dhe diskuton</w:t>
            </w:r>
            <w:r>
              <w:rPr>
                <w:spacing w:val="3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për pozitën e arbërve brenda këtij sistemi.</w:t>
            </w:r>
          </w:p>
          <w:p>
            <w:pPr>
              <w:pStyle w:val="TableParagraph"/>
              <w:spacing w:line="276" w:lineRule="auto"/>
              <w:ind w:left="21" w:right="39" w:firstLine="218"/>
              <w:rPr>
                <w:sz w:val="12"/>
              </w:rPr>
            </w:pPr>
            <w:r>
              <w:rPr>
                <w:w w:val="105"/>
                <w:sz w:val="12"/>
              </w:rPr>
              <w:t>Ilustron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aspekte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jetës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përditshme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shtresave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ndryshme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shoqërore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(fshat,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qytet)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në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botën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mesjetare.</w:t>
            </w:r>
          </w:p>
          <w:p>
            <w:pPr>
              <w:pStyle w:val="TableParagraph"/>
              <w:spacing w:line="276" w:lineRule="auto" w:before="38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Shpjegon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rrethanat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themelimit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Principatës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Arbrit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krahason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rolin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prijësve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saj.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Veçon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përfaqësues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të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dalluar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të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bujarisë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arbërore,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faktorët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që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ndikuan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në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fuqizimin</w:t>
            </w:r>
            <w:r>
              <w:rPr>
                <w:spacing w:val="-2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tyre,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përkufizon principatat e veçanta dhe marrëdhëniet midis tyre.</w:t>
            </w:r>
          </w:p>
          <w:p>
            <w:pPr>
              <w:pStyle w:val="TableParagraph"/>
              <w:spacing w:line="276" w:lineRule="auto"/>
              <w:ind w:left="21" w:right="15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Identifikon marrëdhëniet e fuqive të kohës, rivalitetin dhe konfliktet e armatosura midis tyre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 rrjedhojat për shoqërinë evropiane.</w:t>
            </w:r>
          </w:p>
          <w:p>
            <w:pPr>
              <w:pStyle w:val="TableParagraph"/>
              <w:spacing w:line="276" w:lineRule="auto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Identifikon qytetet/vendbanimet kryesore në territorin e Kosovës gjatë Mesjetës dhe krahason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mënyrën e organizimit dhe funksionimit të tyre.</w:t>
            </w:r>
          </w:p>
        </w:tc>
        <w:tc>
          <w:tcPr>
            <w:tcW w:w="1908" w:type="dxa"/>
            <w:vMerge w:val="restart"/>
          </w:tcPr>
          <w:p>
            <w:pPr>
              <w:pStyle w:val="TableParagraph"/>
              <w:spacing w:line="276" w:lineRule="auto" w:before="5"/>
              <w:ind w:left="21"/>
              <w:rPr>
                <w:sz w:val="12"/>
              </w:rPr>
            </w:pPr>
            <w:r>
              <w:rPr>
                <w:w w:val="105"/>
                <w:sz w:val="12"/>
              </w:rPr>
              <w:t>Nga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Iliria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Arbëri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nga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ilirët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në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arbër</w:t>
            </w:r>
          </w:p>
          <w:p>
            <w:pPr>
              <w:pStyle w:val="TableParagraph"/>
              <w:spacing w:line="276" w:lineRule="auto"/>
              <w:ind w:left="52" w:right="144"/>
              <w:rPr>
                <w:sz w:val="12"/>
              </w:rPr>
            </w:pPr>
            <w:r>
              <w:rPr>
                <w:w w:val="105"/>
                <w:sz w:val="12"/>
              </w:rPr>
              <w:t>Jeta e përditshme e arbërve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Arbërit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në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perandorinë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bizantine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Trevat arbërore-shqiptare nën</w:t>
            </w:r>
          </w:p>
          <w:p>
            <w:pPr>
              <w:pStyle w:val="TableParagraph"/>
              <w:spacing w:line="276" w:lineRule="auto"/>
              <w:ind w:left="21" w:right="10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perandorinë bullgare gjatë shekujve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IX-X</w:t>
            </w:r>
          </w:p>
          <w:p>
            <w:pPr>
              <w:pStyle w:val="TableParagraph"/>
              <w:spacing w:line="276" w:lineRule="auto"/>
              <w:ind w:left="52"/>
              <w:rPr>
                <w:sz w:val="12"/>
              </w:rPr>
            </w:pPr>
            <w:r>
              <w:rPr>
                <w:w w:val="105"/>
                <w:sz w:val="12"/>
              </w:rPr>
              <w:t>Ndarja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kishës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situata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Arbëri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Themat në Arbëri</w:t>
            </w:r>
          </w:p>
          <w:p>
            <w:pPr>
              <w:pStyle w:val="TableParagraph"/>
              <w:spacing w:line="276" w:lineRule="auto"/>
              <w:ind w:left="21" w:right="137" w:firstLine="31"/>
              <w:rPr>
                <w:sz w:val="12"/>
              </w:rPr>
            </w:pPr>
            <w:r>
              <w:rPr>
                <w:w w:val="105"/>
                <w:sz w:val="12"/>
              </w:rPr>
              <w:t>Jeta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rurale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dhe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qendrat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urbane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në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Arbëri</w:t>
            </w:r>
          </w:p>
          <w:p>
            <w:pPr>
              <w:pStyle w:val="TableParagraph"/>
              <w:spacing w:line="276" w:lineRule="auto"/>
              <w:ind w:left="21" w:right="49" w:firstLine="3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Principatat mesjetare në Arbërisë në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shekujt XII-XIII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Principata 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Arbërit dhe Despotati i Artës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Arbëria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nën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sundimin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perandorisë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serbe</w:t>
            </w:r>
          </w:p>
          <w:p>
            <w:pPr>
              <w:pStyle w:val="TableParagraph"/>
              <w:spacing w:line="276" w:lineRule="auto"/>
              <w:ind w:left="21" w:right="137" w:firstLine="3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Principatat arbërore-shqiptare në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shekullin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XIV</w:t>
            </w:r>
          </w:p>
          <w:p>
            <w:pPr>
              <w:pStyle w:val="TableParagraph"/>
              <w:spacing w:line="276" w:lineRule="auto"/>
              <w:ind w:left="21" w:right="295" w:firstLine="3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Principata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Muzakajve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dhe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Arianitëve</w:t>
            </w:r>
          </w:p>
          <w:p>
            <w:pPr>
              <w:pStyle w:val="TableParagraph"/>
              <w:spacing w:line="137" w:lineRule="exact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Qytetet mesjetare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të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Kosovës</w:t>
            </w:r>
          </w:p>
        </w:tc>
        <w:tc>
          <w:tcPr>
            <w:tcW w:w="305" w:type="dxa"/>
            <w:vMerge w:val="restart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37"/>
              <w:rPr>
                <w:b/>
                <w:sz w:val="12"/>
              </w:rPr>
            </w:pPr>
          </w:p>
          <w:p>
            <w:pPr>
              <w:pStyle w:val="TableParagraph"/>
              <w:ind w:left="93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</w:t>
            </w:r>
          </w:p>
        </w:tc>
        <w:tc>
          <w:tcPr>
            <w:tcW w:w="996" w:type="dxa"/>
            <w:vMerge w:val="restart"/>
            <w:tcBorders>
              <w:top w:val="nil"/>
            </w:tcBorders>
            <w:textDirection w:val="btLr"/>
          </w:tcPr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67"/>
              <w:rPr>
                <w:b/>
                <w:sz w:val="12"/>
              </w:rPr>
            </w:pPr>
          </w:p>
          <w:p>
            <w:pPr>
              <w:pStyle w:val="TableParagraph"/>
              <w:tabs>
                <w:tab w:pos="2224" w:val="left" w:leader="none"/>
              </w:tabs>
              <w:spacing w:line="276" w:lineRule="auto"/>
              <w:ind w:left="1569" w:right="189" w:hanging="1140"/>
              <w:rPr>
                <w:sz w:val="12"/>
              </w:rPr>
            </w:pPr>
            <w:r>
              <w:rPr>
                <w:w w:val="105"/>
                <w:sz w:val="12"/>
              </w:rPr>
              <w:t>Gjithsej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31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orë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mësimore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prej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tyre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22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orë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zhvillim,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tjerat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mund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të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shfrytëzohen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për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përforcim,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projekte,</w:t>
            </w:r>
            <w:r>
              <w:rPr>
                <w:sz w:val="12"/>
              </w:rPr>
              <w:tab/>
            </w:r>
            <w:r>
              <w:rPr>
                <w:w w:val="105"/>
                <w:sz w:val="12"/>
              </w:rPr>
              <w:t>video dokumentar,vlerësim, etj..</w:t>
            </w:r>
          </w:p>
        </w:tc>
        <w:tc>
          <w:tcPr>
            <w:tcW w:w="1654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3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439" w:hRule="atLeast"/>
        </w:trPr>
        <w:tc>
          <w:tcPr>
            <w:tcW w:w="396" w:type="dxa"/>
            <w:vMerge/>
            <w:tcBorders>
              <w:top w:val="nil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297" w:hRule="atLeast"/>
        </w:trPr>
        <w:tc>
          <w:tcPr>
            <w:tcW w:w="396" w:type="dxa"/>
            <w:vMerge/>
            <w:tcBorders>
              <w:top w:val="nil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190" w:hRule="atLeast"/>
        </w:trPr>
        <w:tc>
          <w:tcPr>
            <w:tcW w:w="396" w:type="dxa"/>
            <w:vMerge/>
            <w:tcBorders>
              <w:top w:val="nil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16" w:type="dxa"/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pStyle w:val="TableParagraph"/>
        <w:spacing w:after="0"/>
        <w:rPr>
          <w:sz w:val="12"/>
        </w:rPr>
        <w:sectPr>
          <w:pgSz w:w="15840" w:h="12240" w:orient="landscape"/>
          <w:pgMar w:top="1060" w:bottom="280" w:left="720" w:right="1080"/>
        </w:sectPr>
      </w:pPr>
    </w:p>
    <w:p>
      <w:pPr>
        <w:spacing w:before="78"/>
        <w:ind w:left="1312" w:right="0" w:firstLine="0"/>
        <w:jc w:val="left"/>
        <w:rPr>
          <w:b/>
          <w:sz w:val="13"/>
        </w:rPr>
      </w:pPr>
      <w:bookmarkStart w:name="Janar-Mars" w:id="3"/>
      <w:bookmarkEnd w:id="3"/>
      <w:r>
        <w:rPr/>
      </w:r>
      <w:r>
        <w:rPr>
          <w:b/>
          <w:w w:val="105"/>
          <w:sz w:val="13"/>
        </w:rPr>
        <w:t>Plani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mësimor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për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muajt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Janar</w:t>
      </w:r>
      <w:r>
        <w:rPr>
          <w:b/>
          <w:spacing w:val="-2"/>
          <w:w w:val="105"/>
          <w:sz w:val="13"/>
        </w:rPr>
        <w:t> </w:t>
      </w:r>
      <w:r>
        <w:rPr>
          <w:b/>
          <w:w w:val="105"/>
          <w:sz w:val="13"/>
        </w:rPr>
        <w:t>-</w:t>
      </w:r>
      <w:r>
        <w:rPr>
          <w:b/>
          <w:spacing w:val="-1"/>
          <w:w w:val="105"/>
          <w:sz w:val="13"/>
        </w:rPr>
        <w:t> </w:t>
      </w:r>
      <w:r>
        <w:rPr>
          <w:b/>
          <w:spacing w:val="-4"/>
          <w:w w:val="105"/>
          <w:sz w:val="13"/>
        </w:rPr>
        <w:t>Mars</w:t>
      </w:r>
    </w:p>
    <w:p>
      <w:pPr>
        <w:pStyle w:val="BodyText"/>
        <w:spacing w:before="9" w:after="1"/>
        <w:rPr>
          <w:b/>
          <w:sz w:val="14"/>
        </w:rPr>
      </w:pPr>
    </w:p>
    <w:tbl>
      <w:tblPr>
        <w:tblW w:w="0" w:type="auto"/>
        <w:jc w:val="left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"/>
        <w:gridCol w:w="5196"/>
        <w:gridCol w:w="1730"/>
        <w:gridCol w:w="364"/>
        <w:gridCol w:w="1175"/>
        <w:gridCol w:w="1319"/>
        <w:gridCol w:w="1069"/>
        <w:gridCol w:w="1069"/>
        <w:gridCol w:w="783"/>
      </w:tblGrid>
      <w:tr>
        <w:trPr>
          <w:trHeight w:val="1187" w:hRule="atLeast"/>
        </w:trPr>
        <w:tc>
          <w:tcPr>
            <w:tcW w:w="427" w:type="dxa"/>
            <w:textDirection w:val="btLr"/>
          </w:tcPr>
          <w:p>
            <w:pPr>
              <w:pStyle w:val="TableParagraph"/>
              <w:spacing w:before="130"/>
              <w:ind w:left="9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Temat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mësimore</w:t>
            </w:r>
          </w:p>
        </w:tc>
        <w:tc>
          <w:tcPr>
            <w:tcW w:w="5196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5"/>
              <w:rPr>
                <w:b/>
                <w:sz w:val="13"/>
              </w:rPr>
            </w:pPr>
          </w:p>
          <w:p>
            <w:pPr>
              <w:pStyle w:val="TableParagraph"/>
              <w:ind w:left="24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Rezultatet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e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të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nxënit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për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tema</w:t>
            </w:r>
            <w:r>
              <w:rPr>
                <w:b/>
                <w:spacing w:val="-2"/>
                <w:w w:val="105"/>
                <w:sz w:val="13"/>
              </w:rPr>
              <w:t> mësimore</w:t>
            </w:r>
          </w:p>
        </w:tc>
        <w:tc>
          <w:tcPr>
            <w:tcW w:w="1730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5"/>
              <w:rPr>
                <w:b/>
                <w:sz w:val="13"/>
              </w:rPr>
            </w:pPr>
          </w:p>
          <w:p>
            <w:pPr>
              <w:pStyle w:val="TableParagraph"/>
              <w:ind w:left="23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Njësitë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Mësimore</w:t>
            </w:r>
          </w:p>
        </w:tc>
        <w:tc>
          <w:tcPr>
            <w:tcW w:w="364" w:type="dxa"/>
            <w:textDirection w:val="btLr"/>
          </w:tcPr>
          <w:p>
            <w:pPr>
              <w:pStyle w:val="TableParagraph"/>
              <w:spacing w:before="100"/>
              <w:ind w:right="2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Orët</w:t>
            </w:r>
          </w:p>
        </w:tc>
        <w:tc>
          <w:tcPr>
            <w:tcW w:w="1175" w:type="dxa"/>
          </w:tcPr>
          <w:p>
            <w:pPr>
              <w:pStyle w:val="TableParagraph"/>
              <w:spacing w:line="273" w:lineRule="auto" w:before="10"/>
              <w:ind w:left="25" w:right="72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Koha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nevojshme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mësimore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(orë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mësimore)</w:t>
            </w:r>
          </w:p>
        </w:tc>
        <w:tc>
          <w:tcPr>
            <w:tcW w:w="1319" w:type="dxa"/>
          </w:tcPr>
          <w:p>
            <w:pPr>
              <w:pStyle w:val="TableParagraph"/>
              <w:spacing w:line="273" w:lineRule="auto" w:before="10"/>
              <w:ind w:left="26" w:right="409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Metodologjia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e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mësimdhënies</w:t>
            </w:r>
          </w:p>
        </w:tc>
        <w:tc>
          <w:tcPr>
            <w:tcW w:w="1069" w:type="dxa"/>
          </w:tcPr>
          <w:p>
            <w:pPr>
              <w:pStyle w:val="TableParagraph"/>
              <w:spacing w:line="273" w:lineRule="auto" w:before="10"/>
              <w:ind w:left="27" w:right="152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Metodologjia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e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vlerësimit</w:t>
            </w:r>
          </w:p>
        </w:tc>
        <w:tc>
          <w:tcPr>
            <w:tcW w:w="1069" w:type="dxa"/>
          </w:tcPr>
          <w:p>
            <w:pPr>
              <w:pStyle w:val="TableParagraph"/>
              <w:spacing w:line="273" w:lineRule="auto" w:before="10"/>
              <w:ind w:left="28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Ndërlidhja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me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lëndë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tjera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mësimore,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me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çështjet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ndërkurrikulare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dhe me situatat</w:t>
            </w:r>
          </w:p>
          <w:p>
            <w:pPr>
              <w:pStyle w:val="TableParagraph"/>
              <w:spacing w:line="135" w:lineRule="exact"/>
              <w:ind w:left="28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jetësore</w:t>
            </w:r>
          </w:p>
        </w:tc>
        <w:tc>
          <w:tcPr>
            <w:tcW w:w="783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75"/>
              <w:rPr>
                <w:b/>
                <w:sz w:val="13"/>
              </w:rPr>
            </w:pPr>
          </w:p>
          <w:p>
            <w:pPr>
              <w:pStyle w:val="TableParagraph"/>
              <w:ind w:left="154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Burimet</w:t>
            </w:r>
          </w:p>
        </w:tc>
      </w:tr>
      <w:tr>
        <w:trPr>
          <w:trHeight w:val="1408" w:hRule="atLeast"/>
        </w:trPr>
        <w:tc>
          <w:tcPr>
            <w:tcW w:w="427" w:type="dxa"/>
            <w:textDirection w:val="btLr"/>
          </w:tcPr>
          <w:p>
            <w:pPr>
              <w:pStyle w:val="TableParagraph"/>
              <w:spacing w:line="170" w:lineRule="atLeast" w:before="45"/>
              <w:ind w:left="62" w:right="57" w:firstLine="117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Qytetërimi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Arab,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Mongolët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dhe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Kinezët</w:t>
            </w:r>
          </w:p>
        </w:tc>
        <w:tc>
          <w:tcPr>
            <w:tcW w:w="5196" w:type="dxa"/>
          </w:tcPr>
          <w:p>
            <w:pPr>
              <w:pStyle w:val="TableParagraph"/>
              <w:spacing w:line="273" w:lineRule="auto" w:before="5"/>
              <w:ind w:left="24" w:firstLine="33"/>
              <w:rPr>
                <w:sz w:val="13"/>
              </w:rPr>
            </w:pPr>
            <w:r>
              <w:rPr>
                <w:w w:val="105"/>
                <w:sz w:val="13"/>
              </w:rPr>
              <w:t>Analizon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rrethanat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shoqërore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lindjes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dhe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përhapjes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së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besimit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islam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dhe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përshkruan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karakteristikat kryesore të tij.</w:t>
            </w:r>
          </w:p>
          <w:p>
            <w:pPr>
              <w:pStyle w:val="TableParagraph"/>
              <w:spacing w:line="273" w:lineRule="auto"/>
              <w:ind w:left="24" w:right="84"/>
              <w:rPr>
                <w:sz w:val="13"/>
              </w:rPr>
            </w:pPr>
            <w:r>
              <w:rPr>
                <w:w w:val="105"/>
                <w:sz w:val="13"/>
              </w:rPr>
              <w:t>Analizon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faktorët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që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ndikuan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në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bashkimin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dhe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fuqizimin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botës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arabe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dhe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ndikimin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saj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gjatë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Mesjetës</w:t>
            </w:r>
          </w:p>
          <w:p>
            <w:pPr>
              <w:pStyle w:val="TableParagraph"/>
              <w:ind w:left="2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Shpjegon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kontributin</w:t>
            </w:r>
            <w:r>
              <w:rPr>
                <w:spacing w:val="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dhe</w:t>
            </w:r>
            <w:r>
              <w:rPr>
                <w:spacing w:val="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ndikimet</w:t>
            </w:r>
            <w:r>
              <w:rPr>
                <w:spacing w:val="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reciproke</w:t>
            </w:r>
            <w:r>
              <w:rPr>
                <w:spacing w:val="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shkencore</w:t>
            </w:r>
            <w:r>
              <w:rPr>
                <w:spacing w:val="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Lindje-Perëndim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në</w:t>
            </w:r>
            <w:r>
              <w:rPr>
                <w:spacing w:val="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Mesjetë.</w:t>
            </w:r>
          </w:p>
          <w:p>
            <w:pPr>
              <w:pStyle w:val="TableParagraph"/>
              <w:spacing w:before="21"/>
              <w:ind w:left="386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Shpjegon</w:t>
            </w:r>
            <w:r>
              <w:rPr>
                <w:spacing w:val="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pushtimet</w:t>
            </w:r>
          </w:p>
          <w:p>
            <w:pPr>
              <w:pStyle w:val="TableParagraph"/>
              <w:spacing w:before="21"/>
              <w:ind w:left="24"/>
              <w:rPr>
                <w:sz w:val="13"/>
              </w:rPr>
            </w:pPr>
            <w:r>
              <w:rPr>
                <w:w w:val="105"/>
                <w:sz w:val="13"/>
              </w:rPr>
              <w:t>mongole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në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krye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Xhingis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Kanin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dhe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ndikimin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tyre.</w:t>
            </w:r>
          </w:p>
          <w:p>
            <w:pPr>
              <w:pStyle w:val="TableParagraph"/>
              <w:spacing w:before="21"/>
              <w:ind w:left="24"/>
              <w:rPr>
                <w:sz w:val="13"/>
              </w:rPr>
            </w:pPr>
            <w:r>
              <w:rPr>
                <w:w w:val="105"/>
                <w:sz w:val="13"/>
              </w:rPr>
              <w:t>Identifikon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aspektet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kryesore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qytetërimit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kinez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gjatë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kësaj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periudhe.</w:t>
            </w:r>
          </w:p>
        </w:tc>
        <w:tc>
          <w:tcPr>
            <w:tcW w:w="1730" w:type="dxa"/>
          </w:tcPr>
          <w:p>
            <w:pPr>
              <w:pStyle w:val="TableParagraph"/>
              <w:spacing w:before="5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Lindja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islamizmit</w:t>
            </w:r>
          </w:p>
          <w:p>
            <w:pPr>
              <w:pStyle w:val="TableParagraph"/>
              <w:spacing w:line="273" w:lineRule="auto" w:before="21"/>
              <w:ind w:left="23" w:firstLine="3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Letërsia, shkenca dhe kultura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arabe</w:t>
            </w:r>
          </w:p>
          <w:p>
            <w:pPr>
              <w:pStyle w:val="TableParagraph"/>
              <w:spacing w:line="273" w:lineRule="auto"/>
              <w:ind w:left="23" w:right="70"/>
              <w:rPr>
                <w:sz w:val="13"/>
              </w:rPr>
            </w:pPr>
            <w:r>
              <w:rPr>
                <w:w w:val="105"/>
                <w:sz w:val="13"/>
              </w:rPr>
              <w:t>Mongolët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dhe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kinezët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formojnë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shtetet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tyre</w:t>
            </w:r>
          </w:p>
        </w:tc>
        <w:tc>
          <w:tcPr>
            <w:tcW w:w="36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31"/>
              <w:rPr>
                <w:b/>
                <w:sz w:val="13"/>
              </w:rPr>
            </w:pPr>
          </w:p>
          <w:p>
            <w:pPr>
              <w:pStyle w:val="TableParagraph"/>
              <w:ind w:left="17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1175" w:type="dxa"/>
            <w:vMerge w:val="restart"/>
            <w:tcBorders>
              <w:bottom w:val="nil"/>
            </w:tcBorders>
            <w:textDirection w:val="btLr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23"/>
              <w:rPr>
                <w:b/>
                <w:sz w:val="13"/>
              </w:rPr>
            </w:pPr>
          </w:p>
          <w:p>
            <w:pPr>
              <w:pStyle w:val="TableParagraph"/>
              <w:spacing w:line="273" w:lineRule="auto"/>
              <w:ind w:left="1528" w:right="1" w:hanging="1491"/>
              <w:rPr>
                <w:sz w:val="13"/>
              </w:rPr>
            </w:pPr>
            <w:r>
              <w:rPr>
                <w:w w:val="105"/>
                <w:sz w:val="13"/>
              </w:rPr>
              <w:t>Gjithsej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24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orë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mësimore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prej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tyre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orë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zhvillim,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tjerat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mund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shfrytëzohen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për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përforcim,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projekte, video dokumentar,vlerësim, etj..</w:t>
            </w:r>
          </w:p>
        </w:tc>
        <w:tc>
          <w:tcPr>
            <w:tcW w:w="131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73" w:lineRule="auto" w:before="5"/>
              <w:ind w:left="27" w:right="5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Vlerësim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permanent</w:t>
            </w:r>
            <w:r>
              <w:rPr>
                <w:spacing w:val="8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përmes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Vëzhgimit,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Vlerësim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ndërsjelltë,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Vlerësim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për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ndërmarrësi,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Idetë,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Aktivitetet,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ese,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test,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projekte,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bashkëpunimit,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detyra,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kuize,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prezantime,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hulumtime,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etj..</w:t>
            </w:r>
          </w:p>
        </w:tc>
        <w:tc>
          <w:tcPr>
            <w:tcW w:w="1069" w:type="dxa"/>
            <w:vMerge w:val="restart"/>
          </w:tcPr>
          <w:p>
            <w:pPr>
              <w:pStyle w:val="TableParagraph"/>
              <w:spacing w:line="273" w:lineRule="auto" w:before="5"/>
              <w:ind w:left="28" w:right="51"/>
              <w:rPr>
                <w:sz w:val="13"/>
              </w:rPr>
            </w:pPr>
            <w:r>
              <w:rPr>
                <w:w w:val="105"/>
                <w:sz w:val="13"/>
              </w:rPr>
              <w:t>Hulumtimeve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në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internet,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lëndës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së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gjeografisë,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edukatës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qytetare,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biologji,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ekonomi,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art,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histori e artit,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numizmatikë,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arkeologji,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gjuhë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shqipe,</w:t>
            </w:r>
          </w:p>
        </w:tc>
        <w:tc>
          <w:tcPr>
            <w:tcW w:w="783" w:type="dxa"/>
          </w:tcPr>
          <w:p>
            <w:pPr>
              <w:pStyle w:val="TableParagraph"/>
              <w:spacing w:line="273" w:lineRule="auto" w:before="5"/>
              <w:ind w:left="2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Teksti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shkollor,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fletore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pune,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burimet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nga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interneti,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etj..</w:t>
            </w:r>
          </w:p>
        </w:tc>
      </w:tr>
      <w:tr>
        <w:trPr>
          <w:trHeight w:val="1295" w:hRule="atLeast"/>
        </w:trPr>
        <w:tc>
          <w:tcPr>
            <w:tcW w:w="427" w:type="dxa"/>
            <w:vMerge w:val="restart"/>
            <w:tcBorders>
              <w:left w:val="nil"/>
            </w:tcBorders>
            <w:textDirection w:val="btLr"/>
          </w:tcPr>
          <w:p>
            <w:pPr>
              <w:pStyle w:val="TableParagraph"/>
              <w:spacing w:before="135"/>
              <w:ind w:left="693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Qytetërimi</w:t>
            </w:r>
            <w:r>
              <w:rPr>
                <w:b/>
                <w:spacing w:val="-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Evropian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gjatë</w:t>
            </w:r>
            <w:r>
              <w:rPr>
                <w:b/>
                <w:spacing w:val="-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shekujve</w:t>
            </w:r>
            <w:r>
              <w:rPr>
                <w:b/>
                <w:spacing w:val="-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XI-</w:t>
            </w:r>
            <w:r>
              <w:rPr>
                <w:b/>
                <w:spacing w:val="-5"/>
                <w:w w:val="105"/>
                <w:sz w:val="13"/>
              </w:rPr>
              <w:t>XV</w:t>
            </w:r>
          </w:p>
        </w:tc>
        <w:tc>
          <w:tcPr>
            <w:tcW w:w="5196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133" w:val="left" w:leader="none"/>
              </w:tabs>
              <w:spacing w:line="273" w:lineRule="auto" w:before="5" w:after="0"/>
              <w:ind w:left="24" w:right="529" w:firstLine="3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Shpjegon rolin e avancimit të zejtarisë dhe tregtisë në lindjen e formave të reja të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organizimit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grupeve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interesit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(esnafet,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gildet,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hanzat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etj.)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në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shoqërinë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mesjetare.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00" w:val="left" w:leader="none"/>
              </w:tabs>
              <w:spacing w:line="273" w:lineRule="auto" w:before="0" w:after="0"/>
              <w:ind w:left="24" w:right="205" w:firstLine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Ilustron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aspekte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jetës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së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përditshme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shtresave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ndryshme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shoqërore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(fshat,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qytet)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në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botën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mesjetare.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00" w:val="left" w:leader="none"/>
              </w:tabs>
              <w:spacing w:line="240" w:lineRule="auto" w:before="0" w:after="0"/>
              <w:ind w:left="100" w:right="0" w:hanging="7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Shpjegon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veçoritë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kryesore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feudalizmit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dhe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arsyet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lindjes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së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shtresave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reja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shoqërore.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100" w:val="left" w:leader="none"/>
              </w:tabs>
              <w:spacing w:line="273" w:lineRule="auto" w:before="21" w:after="0"/>
              <w:ind w:left="24" w:right="520" w:firstLine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Identifikon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shtresat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shoqërore,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marrëdhëniet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ndërmjet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tyre,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dhe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evidencon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drejtat,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obligimet dhe përgjegjësitë e tyre.</w:t>
            </w:r>
          </w:p>
        </w:tc>
        <w:tc>
          <w:tcPr>
            <w:tcW w:w="1730" w:type="dxa"/>
            <w:vMerge w:val="restart"/>
          </w:tcPr>
          <w:p>
            <w:pPr>
              <w:pStyle w:val="TableParagraph"/>
              <w:spacing w:line="273" w:lineRule="auto" w:before="5"/>
              <w:ind w:left="23" w:right="70" w:firstLine="67"/>
              <w:rPr>
                <w:sz w:val="13"/>
              </w:rPr>
            </w:pPr>
            <w:r>
              <w:rPr>
                <w:w w:val="105"/>
                <w:sz w:val="13"/>
              </w:rPr>
              <w:t>Zhvillimi i fshatrave dhe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qyteteve evropiane në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mesjetën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zhvilluar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shek.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XI-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6"/>
                <w:w w:val="105"/>
                <w:sz w:val="13"/>
              </w:rPr>
              <w:t>XV</w:t>
            </w:r>
          </w:p>
          <w:p>
            <w:pPr>
              <w:pStyle w:val="TableParagraph"/>
              <w:spacing w:line="273" w:lineRule="auto"/>
              <w:ind w:left="23" w:right="195" w:firstLine="67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Shoqëritë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qytetare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hapja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universiteteve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dhe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zhvillimi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kulturor</w:t>
            </w:r>
          </w:p>
          <w:p>
            <w:pPr>
              <w:pStyle w:val="TableParagraph"/>
              <w:spacing w:line="273" w:lineRule="auto"/>
              <w:ind w:left="23" w:firstLine="67"/>
              <w:rPr>
                <w:sz w:val="13"/>
              </w:rPr>
            </w:pPr>
            <w:r>
              <w:rPr>
                <w:w w:val="105"/>
                <w:sz w:val="13"/>
              </w:rPr>
              <w:t>Luftërat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kryqtare-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kryqëzatat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Franca në shekujt XIV-XV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Anglia në shekujt XIV-XV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Gjermania gjatë shekujve XI-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6"/>
                <w:w w:val="105"/>
                <w:sz w:val="13"/>
              </w:rPr>
              <w:t>XV</w:t>
            </w:r>
          </w:p>
          <w:p>
            <w:pPr>
              <w:pStyle w:val="TableParagraph"/>
              <w:spacing w:line="273" w:lineRule="auto"/>
              <w:ind w:left="23" w:right="122" w:firstLine="67"/>
              <w:rPr>
                <w:sz w:val="13"/>
              </w:rPr>
            </w:pPr>
            <w:r>
              <w:rPr>
                <w:w w:val="105"/>
                <w:sz w:val="13"/>
              </w:rPr>
              <w:t>Italia në shekujt XI-XV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Personalitete të shquara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evropiane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gjatë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shekujve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XI-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6"/>
                <w:w w:val="105"/>
                <w:sz w:val="13"/>
              </w:rPr>
              <w:t>XV</w:t>
            </w:r>
          </w:p>
        </w:tc>
        <w:tc>
          <w:tcPr>
            <w:tcW w:w="364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75" w:type="dxa"/>
            <w:vMerge/>
            <w:tcBorders>
              <w:top w:val="nil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  <w:vMerge w:val="restart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115" w:hRule="atLeast"/>
        </w:trPr>
        <w:tc>
          <w:tcPr>
            <w:tcW w:w="427" w:type="dxa"/>
            <w:vMerge/>
            <w:tcBorders>
              <w:top w:val="nil"/>
              <w:left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3" w:lineRule="auto" w:before="5"/>
              <w:ind w:left="24" w:right="84"/>
              <w:rPr>
                <w:sz w:val="13"/>
              </w:rPr>
            </w:pPr>
            <w:r>
              <w:rPr>
                <w:w w:val="105"/>
                <w:sz w:val="13"/>
              </w:rPr>
              <w:t>Identifikon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marrëdhëniet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fuqive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kohës,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rivalitetin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dhe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konfliktet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armatosura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midis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tyre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dhe rrjedhojat për shoqërinë evropiane.</w:t>
            </w:r>
          </w:p>
          <w:p>
            <w:pPr>
              <w:pStyle w:val="TableParagraph"/>
              <w:spacing w:line="273" w:lineRule="auto"/>
              <w:ind w:left="24"/>
              <w:rPr>
                <w:sz w:val="13"/>
              </w:rPr>
            </w:pPr>
            <w:r>
              <w:rPr>
                <w:w w:val="105"/>
                <w:sz w:val="13"/>
              </w:rPr>
              <w:t>Analizon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rrethanat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krijimit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dhe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ndikimet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Magna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Carta-së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në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jetën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dhe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sistemin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juridik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mesjetar.</w:t>
            </w:r>
          </w:p>
          <w:p>
            <w:pPr>
              <w:pStyle w:val="TableParagraph"/>
              <w:spacing w:line="273" w:lineRule="auto"/>
              <w:ind w:left="24"/>
              <w:rPr>
                <w:sz w:val="13"/>
              </w:rPr>
            </w:pPr>
            <w:r>
              <w:rPr>
                <w:w w:val="105"/>
                <w:sz w:val="13"/>
              </w:rPr>
              <w:t>Identifikon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shtresat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shoqërore,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marrëdhëniet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ndërmjet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tyre,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dhe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evidencon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drejtat,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obligimet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dhe përgjegjësitë e tyre.</w:t>
            </w:r>
          </w:p>
        </w:tc>
        <w:tc>
          <w:tcPr>
            <w:tcW w:w="17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13"/>
              <w:rPr>
                <w:b/>
                <w:sz w:val="13"/>
              </w:rPr>
            </w:pPr>
          </w:p>
          <w:p>
            <w:pPr>
              <w:pStyle w:val="TableParagraph"/>
              <w:spacing w:before="1"/>
              <w:ind w:left="17" w:right="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8</w:t>
            </w:r>
          </w:p>
        </w:tc>
        <w:tc>
          <w:tcPr>
            <w:tcW w:w="1175" w:type="dxa"/>
            <w:vMerge/>
            <w:tcBorders>
              <w:top w:val="nil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466" w:hRule="atLeast"/>
        </w:trPr>
        <w:tc>
          <w:tcPr>
            <w:tcW w:w="427" w:type="dxa"/>
            <w:vMerge/>
            <w:tcBorders>
              <w:top w:val="nil"/>
              <w:left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6" w:type="dxa"/>
            <w:tcBorders>
              <w:top w:val="nil"/>
            </w:tcBorders>
          </w:tcPr>
          <w:p>
            <w:pPr>
              <w:pStyle w:val="TableParagraph"/>
              <w:spacing w:line="273" w:lineRule="auto" w:before="5"/>
              <w:ind w:left="24" w:right="84" w:firstLine="33"/>
              <w:rPr>
                <w:sz w:val="13"/>
              </w:rPr>
            </w:pPr>
            <w:r>
              <w:rPr>
                <w:w w:val="105"/>
                <w:sz w:val="13"/>
              </w:rPr>
              <w:t>Shpjegon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veçoritë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kryesore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feudalizmit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dhe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arsyet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lindjes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së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shtresave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reja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shoqërore.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Shpjegon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rolin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avancimit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zejtarisë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dhe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tregtisë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në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lindjen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formave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reja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organizimit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 grupeve të interesit (esnafet, gildet, hanzat etj.) në shoqërinë mesjetare.</w:t>
            </w:r>
          </w:p>
          <w:p>
            <w:pPr>
              <w:pStyle w:val="TableParagraph"/>
              <w:spacing w:line="273" w:lineRule="auto"/>
              <w:ind w:left="24" w:right="84" w:firstLine="33"/>
              <w:rPr>
                <w:sz w:val="13"/>
              </w:rPr>
            </w:pPr>
            <w:r>
              <w:rPr>
                <w:w w:val="105"/>
                <w:sz w:val="13"/>
              </w:rPr>
              <w:t>Identifikon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marrëdhëniet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fuqive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kohës,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rivalitetin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dhe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konfliktet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armatosura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midis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tyre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dhe rrjedhojat për shoqërinë evropiane.</w:t>
            </w:r>
          </w:p>
          <w:p>
            <w:pPr>
              <w:pStyle w:val="TableParagraph"/>
              <w:spacing w:line="273" w:lineRule="auto"/>
              <w:ind w:left="24" w:firstLine="33"/>
              <w:rPr>
                <w:sz w:val="13"/>
              </w:rPr>
            </w:pPr>
            <w:r>
              <w:rPr>
                <w:w w:val="105"/>
                <w:sz w:val="13"/>
              </w:rPr>
              <w:t>Identifikon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personalitetet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më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spikatura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nga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fusha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artit,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kulturës,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shkencës,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teknologjisë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politikës, në Mesjetë, dhe vlerëson veprimtarinë e kontributin e tyre.</w:t>
            </w:r>
          </w:p>
        </w:tc>
        <w:tc>
          <w:tcPr>
            <w:tcW w:w="17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" w:type="dxa"/>
            <w:tcBorders>
              <w:top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175" w:type="dxa"/>
            <w:vMerge/>
            <w:tcBorders>
              <w:top w:val="nil"/>
              <w:bottom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pStyle w:val="TableParagraph"/>
        <w:spacing w:after="0"/>
        <w:rPr>
          <w:sz w:val="12"/>
        </w:rPr>
        <w:sectPr>
          <w:pgSz w:w="15840" w:h="12240" w:orient="landscape"/>
          <w:pgMar w:top="1020" w:bottom="280" w:left="720" w:right="1080"/>
        </w:sectPr>
      </w:pPr>
    </w:p>
    <w:tbl>
      <w:tblPr>
        <w:tblW w:w="0" w:type="auto"/>
        <w:jc w:val="left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"/>
        <w:gridCol w:w="5196"/>
        <w:gridCol w:w="1730"/>
        <w:gridCol w:w="364"/>
        <w:gridCol w:w="1175"/>
        <w:gridCol w:w="1319"/>
        <w:gridCol w:w="1069"/>
        <w:gridCol w:w="1069"/>
        <w:gridCol w:w="783"/>
      </w:tblGrid>
      <w:tr>
        <w:trPr>
          <w:trHeight w:val="1857" w:hRule="atLeast"/>
        </w:trPr>
        <w:tc>
          <w:tcPr>
            <w:tcW w:w="427" w:type="dxa"/>
            <w:textDirection w:val="btLr"/>
          </w:tcPr>
          <w:p>
            <w:pPr>
              <w:pStyle w:val="TableParagraph"/>
              <w:spacing w:line="112" w:lineRule="exact"/>
              <w:ind w:left="249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Formimi i </w:t>
            </w:r>
            <w:r>
              <w:rPr>
                <w:b/>
                <w:spacing w:val="-2"/>
                <w:w w:val="105"/>
                <w:sz w:val="13"/>
              </w:rPr>
              <w:t>perandorisë</w:t>
            </w:r>
          </w:p>
          <w:p>
            <w:pPr>
              <w:pStyle w:val="TableParagraph"/>
              <w:spacing w:line="170" w:lineRule="atLeast"/>
              <w:ind w:left="698" w:hanging="543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Osmane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dhe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pushtimet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në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Ballkan</w:t>
            </w:r>
          </w:p>
        </w:tc>
        <w:tc>
          <w:tcPr>
            <w:tcW w:w="5196" w:type="dxa"/>
          </w:tcPr>
          <w:p>
            <w:pPr>
              <w:pStyle w:val="TableParagraph"/>
              <w:spacing w:line="273" w:lineRule="auto" w:before="5"/>
              <w:ind w:left="24" w:firstLine="67"/>
              <w:rPr>
                <w:sz w:val="13"/>
              </w:rPr>
            </w:pPr>
            <w:r>
              <w:rPr>
                <w:w w:val="105"/>
                <w:sz w:val="13"/>
              </w:rPr>
              <w:t>Identifikon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marrëdhëniet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fuqive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kohës,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rivalitetin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dhe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konfliktet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armatosura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midis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tyre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dhe rrjedhojat për shoqërinë evropiane.</w:t>
            </w:r>
          </w:p>
          <w:p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Përshkruan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fillet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shtetit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osman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dhe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zgjerimin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tij.</w:t>
            </w:r>
          </w:p>
          <w:p>
            <w:pPr>
              <w:pStyle w:val="TableParagraph"/>
              <w:spacing w:before="21"/>
              <w:ind w:left="9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Shpjegon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gjendjen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politike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në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Ballkanit</w:t>
            </w:r>
            <w:r>
              <w:rPr>
                <w:spacing w:val="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në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prag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të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pushtimeve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osmane.</w:t>
            </w:r>
          </w:p>
          <w:p>
            <w:pPr>
              <w:pStyle w:val="TableParagraph"/>
              <w:spacing w:line="273" w:lineRule="auto" w:before="21"/>
              <w:ind w:left="24" w:right="84" w:firstLine="67"/>
              <w:rPr>
                <w:sz w:val="13"/>
              </w:rPr>
            </w:pPr>
            <w:r>
              <w:rPr>
                <w:w w:val="105"/>
                <w:sz w:val="13"/>
              </w:rPr>
              <w:t>Krahason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dhëna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ndryshme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për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Betejën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Kosovës,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vlerëson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bashkëpunimin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midis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popujve të Ballkanit, si dhe argumenton pasojat që pati kjo betejë për ta.</w:t>
            </w:r>
          </w:p>
        </w:tc>
        <w:tc>
          <w:tcPr>
            <w:tcW w:w="1730" w:type="dxa"/>
          </w:tcPr>
          <w:p>
            <w:pPr>
              <w:pStyle w:val="TableParagraph"/>
              <w:spacing w:before="5"/>
              <w:ind w:left="124"/>
              <w:rPr>
                <w:sz w:val="13"/>
              </w:rPr>
            </w:pPr>
            <w:r>
              <w:rPr>
                <w:w w:val="105"/>
                <w:sz w:val="13"/>
              </w:rPr>
              <w:t>Perandoria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Osmane</w:t>
            </w:r>
          </w:p>
          <w:p>
            <w:pPr>
              <w:pStyle w:val="TableParagraph"/>
              <w:spacing w:line="273" w:lineRule="auto" w:before="21"/>
              <w:ind w:left="23" w:right="60" w:firstLine="100"/>
              <w:rPr>
                <w:sz w:val="13"/>
              </w:rPr>
            </w:pPr>
            <w:r>
              <w:rPr>
                <w:w w:val="105"/>
                <w:sz w:val="13"/>
              </w:rPr>
              <w:t>Beteja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Maricës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dhe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Beteja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Kosovës</w:t>
            </w:r>
          </w:p>
        </w:tc>
        <w:tc>
          <w:tcPr>
            <w:tcW w:w="36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05"/>
              <w:rPr>
                <w:b/>
                <w:sz w:val="13"/>
              </w:rPr>
            </w:pPr>
          </w:p>
          <w:p>
            <w:pPr>
              <w:pStyle w:val="TableParagraph"/>
              <w:ind w:left="17" w:right="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1175" w:type="dxa"/>
            <w:vMerge w:val="restart"/>
            <w:tcBorders>
              <w:top w:val="nil"/>
            </w:tcBorders>
            <w:textDirection w:val="btLr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36"/>
              <w:rPr>
                <w:b/>
                <w:sz w:val="13"/>
              </w:rPr>
            </w:pPr>
          </w:p>
          <w:p>
            <w:pPr>
              <w:pStyle w:val="TableParagraph"/>
              <w:spacing w:line="273" w:lineRule="auto" w:before="1"/>
              <w:ind w:left="21" w:right="120"/>
              <w:rPr>
                <w:sz w:val="13"/>
              </w:rPr>
            </w:pPr>
            <w:r>
              <w:rPr>
                <w:w w:val="105"/>
                <w:sz w:val="13"/>
              </w:rPr>
              <w:t>Gjithsej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24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orë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mësimore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prej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tyre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orë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zhvillim,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tjerat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mund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 shfrytëzohen për përforcim, projekte, video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dokumentar,vlerësim,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etj..</w:t>
            </w:r>
          </w:p>
        </w:tc>
        <w:tc>
          <w:tcPr>
            <w:tcW w:w="131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857" w:hRule="atLeast"/>
        </w:trPr>
        <w:tc>
          <w:tcPr>
            <w:tcW w:w="427" w:type="dxa"/>
            <w:textDirection w:val="btLr"/>
          </w:tcPr>
          <w:p>
            <w:pPr>
              <w:pStyle w:val="TableParagraph"/>
              <w:spacing w:before="130"/>
              <w:ind w:left="151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Arbëria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gjatë</w:t>
            </w:r>
            <w:r>
              <w:rPr>
                <w:b/>
                <w:spacing w:val="-3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shekullit</w:t>
            </w:r>
            <w:r>
              <w:rPr>
                <w:b/>
                <w:spacing w:val="-2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XV</w:t>
            </w:r>
          </w:p>
        </w:tc>
        <w:tc>
          <w:tcPr>
            <w:tcW w:w="5196" w:type="dxa"/>
          </w:tcPr>
          <w:p>
            <w:pPr>
              <w:pStyle w:val="TableParagraph"/>
              <w:spacing w:line="273" w:lineRule="auto" w:before="5"/>
              <w:ind w:left="24" w:right="84" w:firstLine="100"/>
              <w:rPr>
                <w:sz w:val="13"/>
              </w:rPr>
            </w:pPr>
            <w:r>
              <w:rPr>
                <w:w w:val="105"/>
                <w:sz w:val="13"/>
              </w:rPr>
              <w:t>Identifikon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shtresat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shoqërore,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marrëdhëniet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ndërmjet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tyre,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dhe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evidencon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drejtat,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obligimet dhe përgjegjësitë e tyre.</w:t>
            </w:r>
          </w:p>
          <w:p>
            <w:pPr>
              <w:pStyle w:val="TableParagraph"/>
              <w:spacing w:line="273" w:lineRule="auto"/>
              <w:ind w:left="24" w:firstLine="1110"/>
              <w:rPr>
                <w:sz w:val="13"/>
              </w:rPr>
            </w:pPr>
            <w:r>
              <w:rPr>
                <w:w w:val="105"/>
                <w:sz w:val="13"/>
              </w:rPr>
              <w:t>Identifikon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marrëdhëniet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fuqive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kohës,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rivalitetin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dhe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konfliktet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armatosura midis tyre dhe rrjedhojat për shoqërinë evropiane.</w:t>
            </w:r>
          </w:p>
          <w:p>
            <w:pPr>
              <w:pStyle w:val="TableParagraph"/>
              <w:spacing w:line="273" w:lineRule="auto"/>
              <w:ind w:left="24" w:firstLine="1615"/>
              <w:rPr>
                <w:sz w:val="13"/>
              </w:rPr>
            </w:pPr>
            <w:r>
              <w:rPr>
                <w:w w:val="105"/>
                <w:sz w:val="13"/>
              </w:rPr>
              <w:t>Veçon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përfaqësues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dalluar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bujarisë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arbërore,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faktorët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që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ndikuan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në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fuqizimin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tyre,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përkufizon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principatat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veçanta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dhe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marrëdhëniet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midis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tyre.</w:t>
            </w:r>
          </w:p>
          <w:p>
            <w:pPr>
              <w:pStyle w:val="TableParagraph"/>
              <w:spacing w:line="273" w:lineRule="auto"/>
              <w:ind w:left="24" w:firstLine="1648"/>
              <w:rPr>
                <w:sz w:val="13"/>
              </w:rPr>
            </w:pPr>
            <w:r>
              <w:rPr>
                <w:w w:val="105"/>
                <w:sz w:val="13"/>
              </w:rPr>
              <w:t>Analizon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pozitën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vasale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të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princave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ballkanas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ndaj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Perandorisë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Osmane dhe nxjerr përfundime për gjendjen e popujve të Ballkanit.</w:t>
            </w:r>
          </w:p>
        </w:tc>
        <w:tc>
          <w:tcPr>
            <w:tcW w:w="1730" w:type="dxa"/>
          </w:tcPr>
          <w:p>
            <w:pPr>
              <w:pStyle w:val="TableParagraph"/>
              <w:spacing w:line="273" w:lineRule="auto" w:before="5"/>
              <w:ind w:left="23" w:firstLine="6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Shoqëria shqiptare gjatë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shekujve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XIV-XV</w:t>
            </w: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84"/>
              <w:rPr>
                <w:b/>
                <w:sz w:val="13"/>
              </w:rPr>
            </w:pPr>
          </w:p>
          <w:p>
            <w:pPr>
              <w:pStyle w:val="TableParagraph"/>
              <w:spacing w:line="273" w:lineRule="auto"/>
              <w:ind w:left="124" w:right="263" w:hanging="68"/>
              <w:rPr>
                <w:sz w:val="13"/>
              </w:rPr>
            </w:pPr>
            <w:r>
              <w:rPr>
                <w:w w:val="105"/>
                <w:sz w:val="13"/>
              </w:rPr>
              <w:t>Pushtimet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Venedikut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në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Shqipëri gjatë shekujve</w:t>
            </w:r>
          </w:p>
          <w:p>
            <w:pPr>
              <w:pStyle w:val="TableParagraph"/>
              <w:ind w:left="2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XIV-</w:t>
            </w:r>
            <w:r>
              <w:rPr>
                <w:spacing w:val="-5"/>
                <w:w w:val="105"/>
                <w:sz w:val="13"/>
              </w:rPr>
              <w:t>XV</w:t>
            </w:r>
          </w:p>
          <w:p>
            <w:pPr>
              <w:pStyle w:val="TableParagraph"/>
              <w:spacing w:line="170" w:lineRule="atLeast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Principata e Kastriotëve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Marrja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fëmijëve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peng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dhe</w:t>
            </w:r>
          </w:p>
        </w:tc>
        <w:tc>
          <w:tcPr>
            <w:tcW w:w="364" w:type="dxa"/>
          </w:tcPr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rPr>
                <w:b/>
                <w:sz w:val="13"/>
              </w:rPr>
            </w:pPr>
          </w:p>
          <w:p>
            <w:pPr>
              <w:pStyle w:val="TableParagraph"/>
              <w:spacing w:before="105"/>
              <w:rPr>
                <w:b/>
                <w:sz w:val="13"/>
              </w:rPr>
            </w:pPr>
          </w:p>
          <w:p>
            <w:pPr>
              <w:pStyle w:val="TableParagraph"/>
              <w:ind w:left="17" w:right="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1175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069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783" w:type="dxa"/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pStyle w:val="TableParagraph"/>
        <w:spacing w:after="0"/>
        <w:rPr>
          <w:sz w:val="12"/>
        </w:rPr>
        <w:sectPr>
          <w:pgSz w:w="15840" w:h="12240" w:orient="landscape"/>
          <w:pgMar w:top="1060" w:bottom="280" w:left="720" w:right="1080"/>
        </w:sectPr>
      </w:pPr>
    </w:p>
    <w:p>
      <w:pPr>
        <w:spacing w:before="84"/>
        <w:ind w:left="1692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170048">
                <wp:simplePos x="0" y="0"/>
                <wp:positionH relativeFrom="page">
                  <wp:posOffset>5552009</wp:posOffset>
                </wp:positionH>
                <wp:positionV relativeFrom="page">
                  <wp:posOffset>3396107</wp:posOffset>
                </wp:positionV>
                <wp:extent cx="155575" cy="216725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55575" cy="2167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6"/>
                              <w:ind w:left="20"/>
                            </w:pPr>
                            <w:r>
                              <w:rPr/>
                              <w:t>m,</w:t>
                            </w:r>
                            <w:r>
                              <w:rPr>
                                <w:spacing w:val="10"/>
                              </w:rPr>
                              <w:t> </w:t>
                            </w:r>
                            <w:r>
                              <w:rPr/>
                              <w:t>projekte,</w:t>
                            </w:r>
                            <w:r>
                              <w:rPr>
                                <w:spacing w:val="11"/>
                              </w:rPr>
                              <w:t> </w:t>
                            </w:r>
                            <w:r>
                              <w:rPr/>
                              <w:t>video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/>
                              <w:t>dokumentar,</w:t>
                            </w:r>
                            <w:r>
                              <w:rPr>
                                <w:spacing w:val="11"/>
                              </w:rPr>
                              <w:t> </w:t>
                            </w:r>
                            <w:r>
                              <w:rPr/>
                              <w:t>vlerësim,</w:t>
                            </w:r>
                            <w:r>
                              <w:rPr>
                                <w:spacing w:val="1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etj..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37.166107pt;margin-top:267.410004pt;width:12.25pt;height:170.65pt;mso-position-horizontal-relative:page;mso-position-vertical-relative:page;z-index:-16146432" type="#_x0000_t202" id="docshape1" filled="false" stroked="false">
                <v:textbox inset="0,0,0,0" style="layout-flow:vertical;mso-layout-flow-alt:bottom-to-top">
                  <w:txbxContent>
                    <w:p>
                      <w:pPr>
                        <w:pStyle w:val="BodyText"/>
                        <w:spacing w:before="16"/>
                        <w:ind w:left="20"/>
                      </w:pPr>
                      <w:r>
                        <w:rPr/>
                        <w:t>m,</w:t>
                      </w:r>
                      <w:r>
                        <w:rPr>
                          <w:spacing w:val="10"/>
                        </w:rPr>
                        <w:t> </w:t>
                      </w:r>
                      <w:r>
                        <w:rPr/>
                        <w:t>projekte,</w:t>
                      </w:r>
                      <w:r>
                        <w:rPr>
                          <w:spacing w:val="11"/>
                        </w:rPr>
                        <w:t> </w:t>
                      </w:r>
                      <w:r>
                        <w:rPr/>
                        <w:t>video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/>
                        <w:t>dokumentar,</w:t>
                      </w:r>
                      <w:r>
                        <w:rPr>
                          <w:spacing w:val="11"/>
                        </w:rPr>
                        <w:t> </w:t>
                      </w:r>
                      <w:r>
                        <w:rPr/>
                        <w:t>vlerësim,</w:t>
                      </w:r>
                      <w:r>
                        <w:rPr>
                          <w:spacing w:val="10"/>
                        </w:rPr>
                        <w:t> </w:t>
                      </w:r>
                      <w:r>
                        <w:rPr>
                          <w:spacing w:val="-2"/>
                        </w:rPr>
                        <w:t>etj..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bookmarkStart w:name="Prill - Qershor" w:id="4"/>
      <w:bookmarkEnd w:id="4"/>
      <w:r>
        <w:rPr/>
      </w:r>
      <w:r>
        <w:rPr>
          <w:b/>
          <w:sz w:val="18"/>
        </w:rPr>
        <w:t>Plani</w:t>
      </w:r>
      <w:r>
        <w:rPr>
          <w:b/>
          <w:spacing w:val="3"/>
          <w:sz w:val="18"/>
        </w:rPr>
        <w:t> </w:t>
      </w:r>
      <w:r>
        <w:rPr>
          <w:b/>
          <w:sz w:val="18"/>
        </w:rPr>
        <w:t>mësimor</w:t>
      </w:r>
      <w:r>
        <w:rPr>
          <w:b/>
          <w:spacing w:val="4"/>
          <w:sz w:val="18"/>
        </w:rPr>
        <w:t> </w:t>
      </w:r>
      <w:r>
        <w:rPr>
          <w:b/>
          <w:sz w:val="18"/>
        </w:rPr>
        <w:t>për</w:t>
      </w:r>
      <w:r>
        <w:rPr>
          <w:b/>
          <w:spacing w:val="4"/>
          <w:sz w:val="18"/>
        </w:rPr>
        <w:t> </w:t>
      </w:r>
      <w:r>
        <w:rPr>
          <w:b/>
          <w:sz w:val="18"/>
        </w:rPr>
        <w:t>muajt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Prill</w:t>
      </w:r>
      <w:r>
        <w:rPr>
          <w:b/>
          <w:spacing w:val="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5"/>
          <w:sz w:val="18"/>
        </w:rPr>
        <w:t> </w:t>
      </w:r>
      <w:r>
        <w:rPr>
          <w:b/>
          <w:spacing w:val="-2"/>
          <w:sz w:val="18"/>
        </w:rPr>
        <w:t>Qershor</w:t>
      </w:r>
    </w:p>
    <w:p>
      <w:pPr>
        <w:pStyle w:val="BodyText"/>
        <w:spacing w:before="7"/>
        <w:rPr>
          <w:b/>
          <w:sz w:val="20"/>
        </w:rPr>
      </w:pPr>
    </w:p>
    <w:tbl>
      <w:tblPr>
        <w:tblW w:w="0" w:type="auto"/>
        <w:jc w:val="left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4603"/>
        <w:gridCol w:w="1728"/>
        <w:gridCol w:w="396"/>
        <w:gridCol w:w="1087"/>
        <w:gridCol w:w="1233"/>
        <w:gridCol w:w="1233"/>
        <w:gridCol w:w="1641"/>
        <w:gridCol w:w="1087"/>
      </w:tblGrid>
      <w:tr>
        <w:trPr>
          <w:trHeight w:val="1881" w:hRule="atLeast"/>
        </w:trPr>
        <w:tc>
          <w:tcPr>
            <w:tcW w:w="593" w:type="dxa"/>
            <w:textDirection w:val="btLr"/>
          </w:tcPr>
          <w:p>
            <w:pPr>
              <w:pStyle w:val="TableParagraph"/>
              <w:spacing w:before="182"/>
              <w:ind w:left="273"/>
              <w:rPr>
                <w:b/>
                <w:sz w:val="18"/>
              </w:rPr>
            </w:pPr>
            <w:r>
              <w:rPr>
                <w:b/>
                <w:sz w:val="18"/>
              </w:rPr>
              <w:t>Temat</w:t>
            </w:r>
            <w:r>
              <w:rPr>
                <w:b/>
                <w:spacing w:val="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mësimore</w:t>
            </w:r>
          </w:p>
        </w:tc>
        <w:tc>
          <w:tcPr>
            <w:tcW w:w="4603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"/>
              <w:rPr>
                <w:b/>
                <w:sz w:val="18"/>
              </w:rPr>
            </w:pPr>
          </w:p>
          <w:p>
            <w:pPr>
              <w:pStyle w:val="TableParagraph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Rezultatet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të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nxënit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për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tema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mësimore</w:t>
            </w:r>
          </w:p>
        </w:tc>
        <w:tc>
          <w:tcPr>
            <w:tcW w:w="1728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"/>
              <w:rPr>
                <w:b/>
                <w:sz w:val="18"/>
              </w:rPr>
            </w:pPr>
          </w:p>
          <w:p>
            <w:pPr>
              <w:pStyle w:val="TableParagraph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Njësitë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Mësimore</w:t>
            </w:r>
          </w:p>
        </w:tc>
        <w:tc>
          <w:tcPr>
            <w:tcW w:w="396" w:type="dxa"/>
            <w:textDirection w:val="btLr"/>
          </w:tcPr>
          <w:p>
            <w:pPr>
              <w:pStyle w:val="TableParagraph"/>
              <w:spacing w:before="83"/>
              <w:ind w:right="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Orët</w:t>
            </w:r>
          </w:p>
        </w:tc>
        <w:tc>
          <w:tcPr>
            <w:tcW w:w="1087" w:type="dxa"/>
          </w:tcPr>
          <w:p>
            <w:pPr>
              <w:pStyle w:val="TableParagraph"/>
              <w:spacing w:line="266" w:lineRule="auto" w:before="7"/>
              <w:ind w:left="30" w:right="34"/>
              <w:rPr>
                <w:b/>
                <w:sz w:val="18"/>
              </w:rPr>
            </w:pPr>
            <w:r>
              <w:rPr>
                <w:b/>
                <w:sz w:val="18"/>
              </w:rPr>
              <w:t>Koha e </w:t>
            </w:r>
            <w:r>
              <w:rPr>
                <w:b/>
                <w:spacing w:val="-2"/>
                <w:sz w:val="18"/>
              </w:rPr>
              <w:t>nevojshme mësimore </w:t>
            </w:r>
            <w:r>
              <w:rPr>
                <w:b/>
                <w:spacing w:val="-4"/>
                <w:sz w:val="18"/>
              </w:rPr>
              <w:t>(orë </w:t>
            </w:r>
            <w:r>
              <w:rPr>
                <w:b/>
                <w:spacing w:val="-2"/>
                <w:sz w:val="18"/>
              </w:rPr>
              <w:t>mësimore)</w:t>
            </w:r>
          </w:p>
        </w:tc>
        <w:tc>
          <w:tcPr>
            <w:tcW w:w="1233" w:type="dxa"/>
          </w:tcPr>
          <w:p>
            <w:pPr>
              <w:pStyle w:val="TableParagraph"/>
              <w:spacing w:line="266" w:lineRule="auto" w:before="7"/>
              <w:ind w:left="31" w:right="1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Metodologjia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e</w:t>
            </w:r>
            <w:r>
              <w:rPr>
                <w:b/>
                <w:spacing w:val="-2"/>
                <w:sz w:val="18"/>
              </w:rPr>
              <w:t> mësimdhënies</w:t>
            </w:r>
          </w:p>
        </w:tc>
        <w:tc>
          <w:tcPr>
            <w:tcW w:w="1233" w:type="dxa"/>
          </w:tcPr>
          <w:p>
            <w:pPr>
              <w:pStyle w:val="TableParagraph"/>
              <w:spacing w:line="266" w:lineRule="auto" w:before="7"/>
              <w:ind w:left="31"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Metodologjia </w:t>
            </w:r>
            <w:r>
              <w:rPr>
                <w:b/>
                <w:sz w:val="18"/>
              </w:rPr>
              <w:t>e vlerësimit</w:t>
            </w:r>
          </w:p>
        </w:tc>
        <w:tc>
          <w:tcPr>
            <w:tcW w:w="1641" w:type="dxa"/>
          </w:tcPr>
          <w:p>
            <w:pPr>
              <w:pStyle w:val="TableParagraph"/>
              <w:spacing w:line="266" w:lineRule="auto" w:before="7"/>
              <w:ind w:left="32" w:right="294"/>
              <w:rPr>
                <w:b/>
                <w:sz w:val="18"/>
              </w:rPr>
            </w:pPr>
            <w:r>
              <w:rPr>
                <w:b/>
                <w:sz w:val="18"/>
              </w:rPr>
              <w:t>Ndërlidhja me lëndë tjera mësimore, me </w:t>
            </w:r>
            <w:r>
              <w:rPr>
                <w:b/>
                <w:spacing w:val="-2"/>
                <w:sz w:val="18"/>
              </w:rPr>
              <w:t>çështjet ndërkurrikulare </w:t>
            </w:r>
            <w:r>
              <w:rPr>
                <w:b/>
                <w:sz w:val="18"/>
              </w:rPr>
              <w:t>dhe me situatat </w:t>
            </w:r>
            <w:r>
              <w:rPr>
                <w:b/>
                <w:spacing w:val="-2"/>
                <w:sz w:val="18"/>
              </w:rPr>
              <w:t>jetësore</w:t>
            </w:r>
          </w:p>
        </w:tc>
        <w:tc>
          <w:tcPr>
            <w:tcW w:w="1087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"/>
              <w:rPr>
                <w:b/>
                <w:sz w:val="18"/>
              </w:rPr>
            </w:pPr>
          </w:p>
          <w:p>
            <w:pPr>
              <w:pStyle w:val="TableParagraph"/>
              <w:ind w:left="2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Burimet</w:t>
            </w:r>
          </w:p>
        </w:tc>
      </w:tr>
      <w:tr>
        <w:trPr>
          <w:trHeight w:val="1624" w:hRule="atLeast"/>
        </w:trPr>
        <w:tc>
          <w:tcPr>
            <w:tcW w:w="593" w:type="dxa"/>
            <w:vMerge w:val="restart"/>
            <w:tcBorders>
              <w:left w:val="nil"/>
            </w:tcBorders>
            <w:textDirection w:val="btLr"/>
          </w:tcPr>
          <w:p>
            <w:pPr>
              <w:pStyle w:val="TableParagraph"/>
              <w:spacing w:before="189"/>
              <w:ind w:left="1571"/>
              <w:rPr>
                <w:b/>
                <w:sz w:val="18"/>
              </w:rPr>
            </w:pPr>
            <w:r>
              <w:rPr>
                <w:b/>
                <w:sz w:val="18"/>
              </w:rPr>
              <w:t>Arbëria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gjatë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shekullit</w:t>
            </w:r>
            <w:r>
              <w:rPr>
                <w:b/>
                <w:spacing w:val="1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XV</w:t>
            </w:r>
          </w:p>
        </w:tc>
        <w:tc>
          <w:tcPr>
            <w:tcW w:w="4603" w:type="dxa"/>
          </w:tcPr>
          <w:p>
            <w:pPr>
              <w:pStyle w:val="TableParagraph"/>
              <w:spacing w:line="268" w:lineRule="auto" w:before="4"/>
              <w:ind w:left="30" w:right="571" w:firstLine="91"/>
              <w:rPr>
                <w:sz w:val="18"/>
              </w:rPr>
            </w:pPr>
            <w:r>
              <w:rPr>
                <w:sz w:val="18"/>
              </w:rPr>
              <w:t>Shpjegon veçoritë kryesore të personalitetit të Gjergj Kastriotit-Skënderbeut si strateg dhe burrë shteti.</w:t>
            </w:r>
          </w:p>
          <w:p>
            <w:pPr>
              <w:pStyle w:val="TableParagraph"/>
              <w:spacing w:line="268" w:lineRule="auto" w:before="2"/>
              <w:ind w:left="30" w:right="119"/>
              <w:rPr>
                <w:sz w:val="18"/>
              </w:rPr>
            </w:pPr>
            <w:r>
              <w:rPr>
                <w:sz w:val="18"/>
              </w:rPr>
              <w:t>Identifikon marrëdhëniet e fuqive të kohës, rivalitetin dhe konfliktet e armatosura midis tyre dhe rrjedhojat për shoqërinë evropiane.</w:t>
            </w:r>
          </w:p>
        </w:tc>
        <w:tc>
          <w:tcPr>
            <w:tcW w:w="1728" w:type="dxa"/>
          </w:tcPr>
          <w:p>
            <w:pPr>
              <w:pStyle w:val="TableParagraph"/>
              <w:spacing w:line="268" w:lineRule="auto" w:before="4"/>
              <w:ind w:left="30" w:right="104" w:firstLine="45"/>
              <w:rPr>
                <w:sz w:val="18"/>
              </w:rPr>
            </w:pPr>
            <w:r>
              <w:rPr>
                <w:sz w:val="18"/>
              </w:rPr>
              <w:t>Familja, fëmijëria dhe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rinia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hershme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 Gjergj Kastriotit Kryengritja e vitit 1443 dhe kthimi i Gjergj Kastriotit në</w:t>
            </w:r>
          </w:p>
          <w:p>
            <w:pPr>
              <w:pStyle w:val="TableParagraph"/>
              <w:spacing w:line="203" w:lineRule="exact" w:before="6"/>
              <w:ind w:left="30"/>
              <w:rPr>
                <w:sz w:val="18"/>
              </w:rPr>
            </w:pPr>
            <w:r>
              <w:rPr>
                <w:spacing w:val="-2"/>
                <w:sz w:val="18"/>
              </w:rPr>
              <w:t>Krujë</w:t>
            </w:r>
          </w:p>
        </w:tc>
        <w:tc>
          <w:tcPr>
            <w:tcW w:w="396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47"/>
              <w:rPr>
                <w:b/>
                <w:sz w:val="18"/>
              </w:rPr>
            </w:pPr>
          </w:p>
          <w:p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087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68" w:lineRule="auto" w:before="4"/>
              <w:ind w:left="31" w:right="88"/>
              <w:rPr>
                <w:sz w:val="18"/>
              </w:rPr>
            </w:pPr>
            <w:r>
              <w:rPr>
                <w:sz w:val="18"/>
              </w:rPr>
              <w:t>Përdorim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 </w:t>
            </w:r>
            <w:r>
              <w:rPr>
                <w:spacing w:val="-2"/>
                <w:sz w:val="18"/>
              </w:rPr>
              <w:t>teknikave </w:t>
            </w:r>
            <w:r>
              <w:rPr>
                <w:sz w:val="18"/>
              </w:rPr>
              <w:t>ndryshme të </w:t>
            </w:r>
            <w:r>
              <w:rPr>
                <w:spacing w:val="-2"/>
                <w:sz w:val="18"/>
              </w:rPr>
              <w:t>mësimdhënies </w:t>
            </w:r>
            <w:r>
              <w:rPr>
                <w:sz w:val="18"/>
              </w:rPr>
              <w:t>dhe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nxënies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si: </w:t>
            </w:r>
            <w:r>
              <w:rPr>
                <w:spacing w:val="-2"/>
                <w:sz w:val="18"/>
              </w:rPr>
              <w:t>Stuhi mendimesh, </w:t>
            </w:r>
            <w:r>
              <w:rPr>
                <w:sz w:val="18"/>
              </w:rPr>
              <w:t>Vija e vlerave, Di, dua të di, </w:t>
            </w:r>
            <w:r>
              <w:rPr>
                <w:spacing w:val="-2"/>
                <w:sz w:val="18"/>
              </w:rPr>
              <w:t>mësova, </w:t>
            </w:r>
            <w:r>
              <w:rPr>
                <w:sz w:val="18"/>
              </w:rPr>
              <w:t>Xhiksou I, Ndërthurjes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II, Diagrami i </w:t>
            </w:r>
            <w:r>
              <w:rPr>
                <w:spacing w:val="-2"/>
                <w:sz w:val="18"/>
              </w:rPr>
              <w:t>Venit, Pesëvargshi, </w:t>
            </w:r>
            <w:r>
              <w:rPr>
                <w:sz w:val="18"/>
              </w:rPr>
              <w:t>Kubimi, Rrjeti i diskutimit, Shkrim i lirë, ese, Ruaje fjalën e fundit për mua, etj.</w:t>
            </w:r>
          </w:p>
          <w:p>
            <w:pPr>
              <w:pStyle w:val="TableParagraph"/>
              <w:spacing w:line="232" w:lineRule="exact"/>
              <w:ind w:left="31" w:right="88"/>
              <w:rPr>
                <w:sz w:val="18"/>
              </w:rPr>
            </w:pPr>
            <w:r>
              <w:rPr>
                <w:sz w:val="18"/>
              </w:rPr>
              <w:t>Diskutimi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dhe të nxënit me</w:t>
            </w:r>
          </w:p>
        </w:tc>
        <w:tc>
          <w:tcPr>
            <w:tcW w:w="123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68" w:lineRule="auto" w:before="4"/>
              <w:ind w:left="31" w:right="54"/>
              <w:rPr>
                <w:sz w:val="18"/>
              </w:rPr>
            </w:pPr>
            <w:r>
              <w:rPr>
                <w:spacing w:val="-2"/>
                <w:sz w:val="18"/>
              </w:rPr>
              <w:t>Vlerësim permanent përmes Vëzhgimit, </w:t>
            </w:r>
            <w:r>
              <w:rPr>
                <w:sz w:val="18"/>
              </w:rPr>
              <w:t>Vlerësim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 </w:t>
            </w:r>
            <w:r>
              <w:rPr>
                <w:spacing w:val="-2"/>
                <w:sz w:val="18"/>
              </w:rPr>
              <w:t>ndërsjelltë, </w:t>
            </w:r>
            <w:r>
              <w:rPr>
                <w:sz w:val="18"/>
              </w:rPr>
              <w:t>Vlerësim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për </w:t>
            </w:r>
            <w:r>
              <w:rPr>
                <w:spacing w:val="-2"/>
                <w:sz w:val="18"/>
              </w:rPr>
              <w:t>ndërmarrësi, Idetë, Aktivitetet,</w:t>
            </w:r>
            <w:r>
              <w:rPr>
                <w:spacing w:val="80"/>
                <w:sz w:val="18"/>
              </w:rPr>
              <w:t> </w:t>
            </w:r>
            <w:r>
              <w:rPr>
                <w:sz w:val="18"/>
              </w:rPr>
              <w:t>ese, test, </w:t>
            </w:r>
            <w:r>
              <w:rPr>
                <w:spacing w:val="-2"/>
                <w:sz w:val="18"/>
              </w:rPr>
              <w:t>projekte, bashkëpunimit, </w:t>
            </w:r>
            <w:r>
              <w:rPr>
                <w:sz w:val="18"/>
              </w:rPr>
              <w:t>detyra, kuize, </w:t>
            </w:r>
            <w:r>
              <w:rPr>
                <w:spacing w:val="-2"/>
                <w:sz w:val="18"/>
              </w:rPr>
              <w:t>prezantime,</w:t>
            </w:r>
          </w:p>
          <w:p>
            <w:pPr>
              <w:pStyle w:val="TableParagraph"/>
              <w:spacing w:before="15"/>
              <w:ind w:left="31"/>
              <w:rPr>
                <w:sz w:val="18"/>
              </w:rPr>
            </w:pPr>
            <w:r>
              <w:rPr>
                <w:sz w:val="18"/>
              </w:rPr>
              <w:t>hulumtime,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etj..</w:t>
            </w:r>
          </w:p>
        </w:tc>
        <w:tc>
          <w:tcPr>
            <w:tcW w:w="1641" w:type="dxa"/>
            <w:vMerge w:val="restart"/>
          </w:tcPr>
          <w:p>
            <w:pPr>
              <w:pStyle w:val="TableParagraph"/>
              <w:spacing w:line="268" w:lineRule="auto" w:before="4"/>
              <w:ind w:left="32" w:right="239"/>
              <w:rPr>
                <w:sz w:val="18"/>
              </w:rPr>
            </w:pPr>
            <w:r>
              <w:rPr>
                <w:sz w:val="18"/>
              </w:rPr>
              <w:t>Hulumtimeve në internet, lëndës së </w:t>
            </w:r>
            <w:r>
              <w:rPr>
                <w:spacing w:val="-2"/>
                <w:sz w:val="18"/>
              </w:rPr>
              <w:t>gjeografisë, </w:t>
            </w:r>
            <w:r>
              <w:rPr>
                <w:sz w:val="18"/>
              </w:rPr>
              <w:t>edukatës qytetare, biologji,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ekonomi, art, histori e artit, </w:t>
            </w:r>
            <w:r>
              <w:rPr>
                <w:spacing w:val="-2"/>
                <w:sz w:val="18"/>
              </w:rPr>
              <w:t>numizmatikë, </w:t>
            </w:r>
            <w:r>
              <w:rPr>
                <w:sz w:val="18"/>
              </w:rPr>
              <w:t>arkeologji, gjuhë </w:t>
            </w:r>
            <w:r>
              <w:rPr>
                <w:spacing w:val="-2"/>
                <w:sz w:val="18"/>
              </w:rPr>
              <w:t>shqipe.</w:t>
            </w:r>
          </w:p>
        </w:tc>
        <w:tc>
          <w:tcPr>
            <w:tcW w:w="1087" w:type="dxa"/>
          </w:tcPr>
          <w:p>
            <w:pPr>
              <w:pStyle w:val="TableParagraph"/>
              <w:spacing w:line="268" w:lineRule="auto" w:before="4"/>
              <w:ind w:left="32" w:right="34"/>
              <w:rPr>
                <w:sz w:val="18"/>
              </w:rPr>
            </w:pPr>
            <w:r>
              <w:rPr>
                <w:spacing w:val="-2"/>
                <w:sz w:val="18"/>
              </w:rPr>
              <w:t>Teksti shkollor, </w:t>
            </w:r>
            <w:r>
              <w:rPr>
                <w:sz w:val="18"/>
              </w:rPr>
              <w:t>fletore pune, burimet nga interneti,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etj..</w:t>
            </w:r>
          </w:p>
        </w:tc>
      </w:tr>
      <w:tr>
        <w:trPr>
          <w:trHeight w:val="1868" w:hRule="atLeast"/>
        </w:trPr>
        <w:tc>
          <w:tcPr>
            <w:tcW w:w="593" w:type="dxa"/>
            <w:vMerge/>
            <w:tcBorders>
              <w:top w:val="nil"/>
              <w:left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03" w:type="dxa"/>
          </w:tcPr>
          <w:p>
            <w:pPr>
              <w:pStyle w:val="TableParagraph"/>
              <w:spacing w:line="268" w:lineRule="auto" w:before="4"/>
              <w:ind w:left="30" w:right="119" w:firstLine="91"/>
              <w:rPr>
                <w:sz w:val="18"/>
              </w:rPr>
            </w:pPr>
            <w:r>
              <w:rPr>
                <w:sz w:val="18"/>
              </w:rPr>
              <w:t>Vlerëson rolin e Gjergj Kastriotit - Skënderbeut në themelimin e Lidhjes së Lezhës dhe analizon përpjekjet e tij për formimin e shtetit arbëror.</w:t>
            </w:r>
          </w:p>
          <w:p>
            <w:pPr>
              <w:pStyle w:val="TableParagraph"/>
              <w:spacing w:line="268" w:lineRule="auto" w:before="3"/>
              <w:ind w:left="30" w:firstLine="91"/>
              <w:rPr>
                <w:sz w:val="18"/>
              </w:rPr>
            </w:pPr>
            <w:r>
              <w:rPr>
                <w:sz w:val="18"/>
              </w:rPr>
              <w:t>Identifikon shtresat shoqërore, marrëdhëniet ndërmjet tyre, dhe evidencon të drejtat, obligimet dhe përgjegjësitë e tyre.</w:t>
            </w:r>
          </w:p>
          <w:p>
            <w:pPr>
              <w:pStyle w:val="TableParagraph"/>
              <w:spacing w:line="268" w:lineRule="auto" w:before="2"/>
              <w:ind w:left="30" w:right="208" w:firstLine="91"/>
              <w:rPr>
                <w:sz w:val="18"/>
              </w:rPr>
            </w:pPr>
            <w:r>
              <w:rPr>
                <w:sz w:val="18"/>
              </w:rPr>
              <w:t>Dallon betejat kryesore të luftës mbrojtëse kundër pushtimit osman dhe prezanton argumente për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jehonën e</w:t>
            </w:r>
          </w:p>
          <w:p>
            <w:pPr>
              <w:pStyle w:val="TableParagraph"/>
              <w:spacing w:before="2"/>
              <w:ind w:left="30"/>
              <w:rPr>
                <w:sz w:val="18"/>
              </w:rPr>
            </w:pPr>
            <w:r>
              <w:rPr>
                <w:sz w:val="18"/>
              </w:rPr>
              <w:t>luftës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së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Skënderbeut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në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Evropë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dhe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më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gjerë.</w:t>
            </w:r>
          </w:p>
        </w:tc>
        <w:tc>
          <w:tcPr>
            <w:tcW w:w="1728" w:type="dxa"/>
          </w:tcPr>
          <w:p>
            <w:pPr>
              <w:pStyle w:val="TableParagraph"/>
              <w:spacing w:line="268" w:lineRule="auto" w:before="4"/>
              <w:ind w:left="30" w:right="362" w:firstLine="91"/>
              <w:rPr>
                <w:sz w:val="18"/>
              </w:rPr>
            </w:pPr>
            <w:r>
              <w:rPr>
                <w:sz w:val="18"/>
              </w:rPr>
              <w:t>Formimi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shtetit shqiptar-lidhja e </w:t>
            </w:r>
            <w:r>
              <w:rPr>
                <w:spacing w:val="-2"/>
                <w:sz w:val="18"/>
              </w:rPr>
              <w:t>Lezhës</w:t>
            </w:r>
          </w:p>
          <w:p>
            <w:pPr>
              <w:pStyle w:val="TableParagraph"/>
              <w:spacing w:line="268" w:lineRule="auto" w:before="3"/>
              <w:ind w:left="30" w:right="104" w:firstLine="136"/>
              <w:rPr>
                <w:sz w:val="18"/>
              </w:rPr>
            </w:pPr>
            <w:r>
              <w:rPr>
                <w:sz w:val="18"/>
              </w:rPr>
              <w:t>Luftërat e shqiptarëve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nën udhëheqjen e </w:t>
            </w:r>
            <w:r>
              <w:rPr>
                <w:spacing w:val="-2"/>
                <w:sz w:val="18"/>
              </w:rPr>
              <w:t>Skënderbeut</w:t>
            </w: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712" w:hRule="atLeast"/>
        </w:trPr>
        <w:tc>
          <w:tcPr>
            <w:tcW w:w="593" w:type="dxa"/>
            <w:vMerge/>
            <w:tcBorders>
              <w:top w:val="nil"/>
              <w:left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03" w:type="dxa"/>
            <w:tcBorders>
              <w:bottom w:val="nil"/>
            </w:tcBorders>
          </w:tcPr>
          <w:p>
            <w:pPr>
              <w:pStyle w:val="TableParagraph"/>
              <w:spacing w:line="268" w:lineRule="auto" w:before="4"/>
              <w:ind w:left="30" w:right="571" w:firstLine="91"/>
              <w:rPr>
                <w:sz w:val="18"/>
              </w:rPr>
            </w:pPr>
            <w:r>
              <w:rPr>
                <w:sz w:val="18"/>
              </w:rPr>
              <w:t>Shpjegon veçoritë kryesore të personalitetit të Gjergj Kastriotit-Skënderbeut si strateg dhe burrë shteti.</w:t>
            </w:r>
          </w:p>
          <w:p>
            <w:pPr>
              <w:pStyle w:val="TableParagraph"/>
              <w:spacing w:line="268" w:lineRule="auto" w:before="2"/>
              <w:ind w:left="30" w:right="208" w:firstLine="91"/>
              <w:rPr>
                <w:sz w:val="18"/>
              </w:rPr>
            </w:pPr>
            <w:r>
              <w:rPr>
                <w:sz w:val="18"/>
              </w:rPr>
              <w:t>Dallon betejat kryesore të luftës mbrojtëse kundër pushtimit osman dhe prezanton argumente për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jehonën e luftës së Skënderbeut në Evropë dhe më gjerë.</w:t>
            </w:r>
          </w:p>
          <w:p>
            <w:pPr>
              <w:pStyle w:val="TableParagraph"/>
              <w:spacing w:line="268" w:lineRule="auto" w:before="3"/>
              <w:ind w:left="30" w:firstLine="91"/>
              <w:rPr>
                <w:sz w:val="18"/>
              </w:rPr>
            </w:pPr>
            <w:r>
              <w:rPr>
                <w:sz w:val="18"/>
              </w:rPr>
              <w:t>Identifikon shtresat shoqërore, marrëdhëniet ndërmjet tyre, dhe evidencon të drejtat, obligimet dhe përgjegjësitë e tyre.</w:t>
            </w:r>
          </w:p>
        </w:tc>
        <w:tc>
          <w:tcPr>
            <w:tcW w:w="1728" w:type="dxa"/>
          </w:tcPr>
          <w:p>
            <w:pPr>
              <w:pStyle w:val="TableParagraph"/>
              <w:spacing w:line="268" w:lineRule="auto" w:before="4"/>
              <w:ind w:left="30" w:right="72" w:firstLine="136"/>
              <w:rPr>
                <w:sz w:val="18"/>
              </w:rPr>
            </w:pPr>
            <w:r>
              <w:rPr>
                <w:sz w:val="18"/>
              </w:rPr>
              <w:t>Marrëveshja e Skënderbeut me Alfonsin V të Napolit dhe vazhdimi i luftërave për mbrojtjen e shtetit </w:t>
            </w:r>
            <w:r>
              <w:rPr>
                <w:spacing w:val="-2"/>
                <w:sz w:val="18"/>
              </w:rPr>
              <w:t>shqiptar</w:t>
            </w:r>
          </w:p>
        </w:tc>
        <w:tc>
          <w:tcPr>
            <w:tcW w:w="3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TableParagraph"/>
        <w:spacing w:after="0"/>
        <w:rPr>
          <w:sz w:val="18"/>
        </w:rPr>
        <w:sectPr>
          <w:pgSz w:w="15840" w:h="12240" w:orient="landscape"/>
          <w:pgMar w:top="1020" w:bottom="280" w:left="720" w:right="1080"/>
        </w:sectPr>
      </w:pPr>
    </w:p>
    <w:tbl>
      <w:tblPr>
        <w:tblW w:w="0" w:type="auto"/>
        <w:jc w:val="left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4603"/>
        <w:gridCol w:w="1728"/>
        <w:gridCol w:w="396"/>
        <w:gridCol w:w="1087"/>
        <w:gridCol w:w="1233"/>
        <w:gridCol w:w="1233"/>
        <w:gridCol w:w="1641"/>
        <w:gridCol w:w="1087"/>
      </w:tblGrid>
      <w:tr>
        <w:trPr>
          <w:trHeight w:val="1679" w:hRule="atLeast"/>
        </w:trPr>
        <w:tc>
          <w:tcPr>
            <w:tcW w:w="593" w:type="dxa"/>
            <w:vMerge w:val="restart"/>
            <w:textDirection w:val="btLr"/>
          </w:tcPr>
          <w:p>
            <w:pPr>
              <w:pStyle w:val="TableParagraph"/>
              <w:spacing w:before="182"/>
              <w:ind w:left="1137"/>
              <w:rPr>
                <w:b/>
                <w:sz w:val="18"/>
              </w:rPr>
            </w:pPr>
            <w:r>
              <w:rPr>
                <w:b/>
                <w:sz w:val="18"/>
              </w:rPr>
              <w:t>Arbëria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gjatë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shekullit</w:t>
            </w:r>
            <w:r>
              <w:rPr>
                <w:b/>
                <w:spacing w:val="1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XV</w:t>
            </w:r>
          </w:p>
        </w:tc>
        <w:tc>
          <w:tcPr>
            <w:tcW w:w="4603" w:type="dxa"/>
          </w:tcPr>
          <w:p>
            <w:pPr>
              <w:pStyle w:val="TableParagraph"/>
              <w:spacing w:line="268" w:lineRule="auto" w:before="4"/>
              <w:ind w:left="30" w:right="571" w:firstLine="91"/>
              <w:rPr>
                <w:sz w:val="18"/>
              </w:rPr>
            </w:pPr>
            <w:r>
              <w:rPr>
                <w:sz w:val="18"/>
              </w:rPr>
              <w:t>Shpjegon veçoritë kryesore të personalitetit të Gjergj Kastriotit-Skënderbeut si strateg dhe burrë shteti.</w:t>
            </w:r>
          </w:p>
          <w:p>
            <w:pPr>
              <w:pStyle w:val="TableParagraph"/>
              <w:spacing w:line="268" w:lineRule="auto" w:before="2"/>
              <w:ind w:left="30" w:right="208" w:firstLine="91"/>
              <w:rPr>
                <w:sz w:val="18"/>
              </w:rPr>
            </w:pPr>
            <w:r>
              <w:rPr>
                <w:sz w:val="18"/>
              </w:rPr>
              <w:t>Dallon betejat kryesore të luftës mbrojtëse kundër pushtimit osman dhe prezanton argumente për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jehonën e luftës së Skënderbeut në Evropë dhe më gjerë.</w:t>
            </w:r>
          </w:p>
          <w:p>
            <w:pPr>
              <w:pStyle w:val="TableParagraph"/>
              <w:spacing w:line="268" w:lineRule="auto" w:before="3"/>
              <w:ind w:left="30" w:firstLine="91"/>
              <w:rPr>
                <w:sz w:val="18"/>
              </w:rPr>
            </w:pPr>
            <w:r>
              <w:rPr>
                <w:sz w:val="18"/>
              </w:rPr>
              <w:t>Identifikon shtresat shoqërore, marrëdhëniet ndërmjet tyre, dhe evidencon të drejtat, obligimet dhe përgjegjësitë e tyre.</w:t>
            </w:r>
          </w:p>
        </w:tc>
        <w:tc>
          <w:tcPr>
            <w:tcW w:w="1728" w:type="dxa"/>
          </w:tcPr>
          <w:p>
            <w:pPr>
              <w:pStyle w:val="TableParagraph"/>
              <w:spacing w:line="268" w:lineRule="auto" w:before="4"/>
              <w:ind w:left="30" w:right="72" w:firstLine="91"/>
              <w:rPr>
                <w:sz w:val="18"/>
              </w:rPr>
            </w:pPr>
            <w:r>
              <w:rPr>
                <w:sz w:val="18"/>
              </w:rPr>
              <w:t>Fitorja e ujit të bardhë, vazhdimi i luftërave të Skënderbeut dhe rrethimi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dytë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Krujë</w:t>
            </w:r>
          </w:p>
        </w:tc>
        <w:tc>
          <w:tcPr>
            <w:tcW w:w="396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  <w:vMerge w:val="restart"/>
            <w:tcBorders>
              <w:top w:val="nil"/>
            </w:tcBorders>
            <w:textDirection w:val="btLr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2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953"/>
              <w:rPr>
                <w:sz w:val="18"/>
              </w:rPr>
            </w:pPr>
            <w:r>
              <w:rPr>
                <w:sz w:val="18"/>
              </w:rPr>
              <w:t>Gjithsej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19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orë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mësimore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prej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tyre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12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orë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zhvillim,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të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tjerat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mund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të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shfrytëzohen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për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përforci</w:t>
            </w:r>
          </w:p>
        </w:tc>
        <w:tc>
          <w:tcPr>
            <w:tcW w:w="123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107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bashkëpunim</w:t>
            </w:r>
          </w:p>
        </w:tc>
        <w:tc>
          <w:tcPr>
            <w:tcW w:w="1233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4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223" w:hRule="atLeast"/>
        </w:trPr>
        <w:tc>
          <w:tcPr>
            <w:tcW w:w="59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03" w:type="dxa"/>
            <w:vMerge w:val="restart"/>
          </w:tcPr>
          <w:p>
            <w:pPr>
              <w:pStyle w:val="TableParagraph"/>
              <w:spacing w:line="268" w:lineRule="auto" w:before="4"/>
              <w:ind w:left="30" w:firstLine="91"/>
              <w:rPr>
                <w:sz w:val="18"/>
              </w:rPr>
            </w:pPr>
            <w:r>
              <w:rPr>
                <w:sz w:val="18"/>
              </w:rPr>
              <w:t>Ilustron aspekte të jetës së përditshme të shtresave të ndryshme shoqërore (fshat, qytet) në botën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mesjetare. Shpjegon rolin e kanuneve shqiptare dhe ndikimin e tyre në shoqërinë mesjetare arbërore/shqiptare.</w:t>
            </w:r>
          </w:p>
          <w:p>
            <w:pPr>
              <w:pStyle w:val="TableParagraph"/>
              <w:spacing w:line="268" w:lineRule="auto" w:before="4"/>
              <w:ind w:left="30" w:right="153" w:firstLine="91"/>
              <w:jc w:val="both"/>
              <w:rPr>
                <w:sz w:val="18"/>
              </w:rPr>
            </w:pPr>
            <w:r>
              <w:rPr>
                <w:sz w:val="18"/>
              </w:rPr>
              <w:t>Identifikon personalitetet më të spikatura nga fusha e artit, kulturës, shkencës, teknologjisë e politikës, në Mesjetë, dhe vlerëson veprimtarinë e kontributin e tyre.</w:t>
            </w:r>
          </w:p>
        </w:tc>
        <w:tc>
          <w:tcPr>
            <w:tcW w:w="1728" w:type="dxa"/>
            <w:vMerge w:val="restart"/>
          </w:tcPr>
          <w:p>
            <w:pPr>
              <w:pStyle w:val="TableParagraph"/>
              <w:spacing w:line="264" w:lineRule="auto" w:before="1"/>
              <w:ind w:left="28" w:firstLine="86"/>
              <w:rPr>
                <w:sz w:val="17"/>
              </w:rPr>
            </w:pPr>
            <w:r>
              <w:rPr>
                <w:sz w:val="17"/>
              </w:rPr>
              <w:t>Gjergj Kastrioti- Skënderbeu simbol i formimit të kombit shqiptar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dhe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mbrojtës</w:t>
            </w:r>
            <w:r>
              <w:rPr>
                <w:spacing w:val="-9"/>
                <w:sz w:val="17"/>
              </w:rPr>
              <w:t> </w:t>
            </w:r>
            <w:r>
              <w:rPr>
                <w:sz w:val="17"/>
              </w:rPr>
              <w:t>i civilizimit evropian Kanunet shqiptare në </w:t>
            </w:r>
            <w:r>
              <w:rPr>
                <w:spacing w:val="-2"/>
                <w:sz w:val="17"/>
              </w:rPr>
              <w:t>mesjetë</w:t>
            </w:r>
          </w:p>
          <w:p>
            <w:pPr>
              <w:pStyle w:val="TableParagraph"/>
              <w:spacing w:line="264" w:lineRule="auto" w:before="7"/>
              <w:ind w:left="28" w:right="189" w:firstLine="86"/>
              <w:rPr>
                <w:sz w:val="17"/>
              </w:rPr>
            </w:pPr>
            <w:r>
              <w:rPr>
                <w:sz w:val="17"/>
              </w:rPr>
              <w:t>Kultura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në</w:t>
            </w:r>
            <w:r>
              <w:rPr>
                <w:spacing w:val="-10"/>
                <w:sz w:val="17"/>
              </w:rPr>
              <w:t> </w:t>
            </w:r>
            <w:r>
              <w:rPr>
                <w:sz w:val="17"/>
              </w:rPr>
              <w:t>Arbëri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ne shekujt XIII-XV </w:t>
            </w:r>
            <w:r>
              <w:rPr>
                <w:spacing w:val="-2"/>
                <w:sz w:val="17"/>
              </w:rPr>
              <w:t>Personalitete</w:t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shqiptare të shekullit </w:t>
            </w:r>
            <w:r>
              <w:rPr>
                <w:spacing w:val="-6"/>
                <w:sz w:val="17"/>
              </w:rPr>
              <w:t>XV</w:t>
            </w:r>
          </w:p>
        </w:tc>
        <w:tc>
          <w:tcPr>
            <w:tcW w:w="3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4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434" w:hRule="atLeast"/>
        </w:trPr>
        <w:tc>
          <w:tcPr>
            <w:tcW w:w="593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4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501" w:hRule="atLeast"/>
        </w:trPr>
        <w:tc>
          <w:tcPr>
            <w:tcW w:w="593" w:type="dxa"/>
            <w:textDirection w:val="btLr"/>
          </w:tcPr>
          <w:p>
            <w:pPr>
              <w:pStyle w:val="TableParagraph"/>
              <w:spacing w:line="230" w:lineRule="atLeast" w:before="82"/>
              <w:ind w:left="333" w:right="342" w:firstLine="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Rilindja Evropiane</w:t>
            </w:r>
          </w:p>
        </w:tc>
        <w:tc>
          <w:tcPr>
            <w:tcW w:w="4603" w:type="dxa"/>
            <w:vMerge w:val="restart"/>
          </w:tcPr>
          <w:p>
            <w:pPr>
              <w:pStyle w:val="TableParagraph"/>
              <w:spacing w:line="268" w:lineRule="auto" w:before="4"/>
              <w:ind w:left="30" w:firstLine="91"/>
              <w:rPr>
                <w:sz w:val="18"/>
              </w:rPr>
            </w:pPr>
            <w:r>
              <w:rPr>
                <w:sz w:val="18"/>
              </w:rPr>
              <w:t>Analizon rolin e kishës në shoqërinë mesjetare,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identifikon disa</w:t>
            </w:r>
            <w:r>
              <w:rPr>
                <w:spacing w:val="37"/>
                <w:sz w:val="18"/>
              </w:rPr>
              <w:t> </w:t>
            </w:r>
            <w:r>
              <w:rPr>
                <w:sz w:val="18"/>
              </w:rPr>
              <w:t>nga</w:t>
            </w:r>
            <w:r>
              <w:rPr>
                <w:spacing w:val="37"/>
                <w:sz w:val="18"/>
              </w:rPr>
              <w:t> </w:t>
            </w:r>
            <w:r>
              <w:rPr>
                <w:sz w:val="18"/>
              </w:rPr>
              <w:t>urdhëratë</w:t>
            </w:r>
            <w:r>
              <w:rPr>
                <w:spacing w:val="37"/>
                <w:sz w:val="18"/>
              </w:rPr>
              <w:t> </w:t>
            </w:r>
            <w:r>
              <w:rPr>
                <w:sz w:val="18"/>
              </w:rPr>
              <w:t>kryesor</w:t>
            </w:r>
            <w:r>
              <w:rPr>
                <w:spacing w:val="39"/>
                <w:sz w:val="18"/>
              </w:rPr>
              <w:t> </w:t>
            </w:r>
            <w:r>
              <w:rPr>
                <w:sz w:val="18"/>
              </w:rPr>
              <w:t>fetar</w:t>
            </w:r>
            <w:r>
              <w:rPr>
                <w:spacing w:val="39"/>
                <w:sz w:val="18"/>
              </w:rPr>
              <w:t> </w:t>
            </w:r>
            <w:r>
              <w:rPr>
                <w:sz w:val="18"/>
              </w:rPr>
              <w:t>dhe</w:t>
            </w:r>
            <w:r>
              <w:rPr>
                <w:spacing w:val="37"/>
                <w:sz w:val="18"/>
              </w:rPr>
              <w:t> </w:t>
            </w:r>
            <w:r>
              <w:rPr>
                <w:sz w:val="18"/>
              </w:rPr>
              <w:t>përshkruan inkuizicionin si mënyrë e luftimit të oponencës ndaj saj.</w:t>
            </w:r>
          </w:p>
          <w:p>
            <w:pPr>
              <w:pStyle w:val="TableParagraph"/>
              <w:spacing w:line="268" w:lineRule="auto" w:before="3"/>
              <w:ind w:left="30" w:right="571" w:firstLine="136"/>
              <w:rPr>
                <w:sz w:val="18"/>
              </w:rPr>
            </w:pPr>
            <w:r>
              <w:rPr>
                <w:sz w:val="18"/>
              </w:rPr>
              <w:t>Debaton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për Skizmën e madhe të Perëndimit dhe identifikon lëvizjet e para për reformimin e kishës.</w:t>
            </w:r>
          </w:p>
          <w:p>
            <w:pPr>
              <w:pStyle w:val="TableParagraph"/>
              <w:spacing w:line="268" w:lineRule="auto" w:before="2"/>
              <w:ind w:left="30" w:firstLine="136"/>
              <w:rPr>
                <w:sz w:val="18"/>
              </w:rPr>
            </w:pPr>
            <w:r>
              <w:rPr>
                <w:sz w:val="18"/>
              </w:rPr>
              <w:t>Analizon rrethanat kulturore, ekonomike dhe politike në Evropë në prag dhe gjatë periudhës së Humanizmit dhe </w:t>
            </w:r>
            <w:r>
              <w:rPr>
                <w:spacing w:val="-2"/>
                <w:sz w:val="18"/>
              </w:rPr>
              <w:t>Renesancës.</w:t>
            </w:r>
          </w:p>
          <w:p>
            <w:pPr>
              <w:pStyle w:val="TableParagraph"/>
              <w:spacing w:line="268" w:lineRule="auto" w:before="3"/>
              <w:ind w:left="30" w:firstLine="91"/>
              <w:rPr>
                <w:sz w:val="18"/>
              </w:rPr>
            </w:pPr>
            <w:r>
              <w:rPr>
                <w:sz w:val="18"/>
              </w:rPr>
              <w:t>Numëron disa nga humanistët evropianë, dhe vlerëson ndikimin e tyre në shoqërinë mesjetare.</w:t>
            </w:r>
          </w:p>
          <w:p>
            <w:pPr>
              <w:pStyle w:val="TableParagraph"/>
              <w:spacing w:line="268" w:lineRule="auto" w:before="2"/>
              <w:ind w:left="30" w:right="119" w:firstLine="91"/>
              <w:rPr>
                <w:sz w:val="18"/>
              </w:rPr>
            </w:pPr>
            <w:r>
              <w:rPr>
                <w:sz w:val="18"/>
              </w:rPr>
              <w:t>Vlerëson</w:t>
            </w:r>
            <w:r>
              <w:rPr>
                <w:spacing w:val="39"/>
                <w:sz w:val="18"/>
              </w:rPr>
              <w:t> </w:t>
            </w:r>
            <w:r>
              <w:rPr>
                <w:sz w:val="18"/>
              </w:rPr>
              <w:t>kontributin</w:t>
            </w:r>
            <w:r>
              <w:rPr>
                <w:spacing w:val="39"/>
                <w:sz w:val="18"/>
              </w:rPr>
              <w:t> </w:t>
            </w:r>
            <w:r>
              <w:rPr>
                <w:sz w:val="18"/>
              </w:rPr>
              <w:t>shkencor,</w:t>
            </w:r>
            <w:r>
              <w:rPr>
                <w:spacing w:val="37"/>
                <w:sz w:val="18"/>
              </w:rPr>
              <w:t> </w:t>
            </w:r>
            <w:r>
              <w:rPr>
                <w:sz w:val="18"/>
              </w:rPr>
              <w:t>kulturor,</w:t>
            </w:r>
            <w:r>
              <w:rPr>
                <w:spacing w:val="37"/>
                <w:sz w:val="18"/>
              </w:rPr>
              <w:t> </w:t>
            </w:r>
            <w:r>
              <w:rPr>
                <w:sz w:val="18"/>
              </w:rPr>
              <w:t>artistik</w:t>
            </w:r>
            <w:r>
              <w:rPr>
                <w:spacing w:val="80"/>
                <w:sz w:val="18"/>
              </w:rPr>
              <w:t> </w:t>
            </w:r>
            <w:r>
              <w:rPr>
                <w:sz w:val="18"/>
              </w:rPr>
              <w:t>të figurave përfaqësuese të renesancës dhe evidencon ndikimin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e tyre në shoqëri.</w:t>
            </w:r>
          </w:p>
          <w:p>
            <w:pPr>
              <w:pStyle w:val="TableParagraph"/>
              <w:spacing w:line="268" w:lineRule="auto" w:before="3"/>
              <w:ind w:left="30"/>
              <w:rPr>
                <w:sz w:val="18"/>
              </w:rPr>
            </w:pPr>
            <w:r>
              <w:rPr>
                <w:sz w:val="18"/>
              </w:rPr>
              <w:t>Identifikon personalitetet më të spikatura nga fusha e artit, kulturës, shkencës, teknologjisë e politikës, në Mesjetë, dhe vlerëson veprimtarinë e kontributin e tyre.</w:t>
            </w:r>
          </w:p>
          <w:p>
            <w:pPr>
              <w:pStyle w:val="TableParagraph"/>
              <w:spacing w:line="268" w:lineRule="auto" w:before="3"/>
              <w:ind w:left="30" w:right="571" w:firstLine="45"/>
              <w:rPr>
                <w:sz w:val="18"/>
              </w:rPr>
            </w:pPr>
            <w:r>
              <w:rPr>
                <w:sz w:val="18"/>
              </w:rPr>
              <w:t>Numëron disa nga humanistët shqiptarë dhe vlerëson kontributin e tyre në kulturën arbërore/shqiptare dhe </w:t>
            </w:r>
            <w:r>
              <w:rPr>
                <w:spacing w:val="-2"/>
                <w:sz w:val="18"/>
              </w:rPr>
              <w:t>evropiane.</w:t>
            </w:r>
          </w:p>
        </w:tc>
        <w:tc>
          <w:tcPr>
            <w:tcW w:w="1728" w:type="dxa"/>
            <w:vMerge w:val="restart"/>
          </w:tcPr>
          <w:p>
            <w:pPr>
              <w:pStyle w:val="TableParagraph"/>
              <w:spacing w:line="264" w:lineRule="auto" w:before="1"/>
              <w:ind w:left="28" w:right="104" w:firstLine="86"/>
              <w:rPr>
                <w:sz w:val="17"/>
              </w:rPr>
            </w:pPr>
            <w:r>
              <w:rPr>
                <w:sz w:val="17"/>
              </w:rPr>
              <w:t>Humanizmi dhe rilindja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në</w:t>
            </w:r>
            <w:r>
              <w:rPr>
                <w:spacing w:val="-11"/>
                <w:sz w:val="17"/>
              </w:rPr>
              <w:t> </w:t>
            </w:r>
            <w:r>
              <w:rPr>
                <w:sz w:val="17"/>
              </w:rPr>
              <w:t>Evropë</w:t>
            </w:r>
          </w:p>
          <w:p>
            <w:pPr>
              <w:pStyle w:val="TableParagraph"/>
              <w:spacing w:before="2"/>
              <w:ind w:left="157"/>
              <w:rPr>
                <w:sz w:val="17"/>
              </w:rPr>
            </w:pPr>
            <w:r>
              <w:rPr>
                <w:sz w:val="17"/>
              </w:rPr>
              <w:t>Humanistët</w:t>
            </w:r>
            <w:r>
              <w:rPr>
                <w:spacing w:val="-6"/>
                <w:sz w:val="17"/>
              </w:rPr>
              <w:t> </w:t>
            </w:r>
            <w:r>
              <w:rPr>
                <w:spacing w:val="-2"/>
                <w:sz w:val="17"/>
              </w:rPr>
              <w:t>shqiptar</w:t>
            </w:r>
          </w:p>
        </w:tc>
        <w:tc>
          <w:tcPr>
            <w:tcW w:w="396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24"/>
              <w:rPr>
                <w:b/>
                <w:sz w:val="18"/>
              </w:rPr>
            </w:pPr>
          </w:p>
          <w:p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08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4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501" w:hRule="atLeast"/>
        </w:trPr>
        <w:tc>
          <w:tcPr>
            <w:tcW w:w="593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4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501" w:hRule="atLeast"/>
        </w:trPr>
        <w:tc>
          <w:tcPr>
            <w:tcW w:w="5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3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4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87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sectPr>
      <w:pgSz w:w="15840" w:h="12240" w:orient="landscape"/>
      <w:pgMar w:top="1060" w:bottom="28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24" w:hanging="7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5"/>
        <w:sz w:val="13"/>
        <w:szCs w:val="13"/>
        <w:lang w:val="sq-AL" w:eastAsia="en-US" w:bidi="ar-SA"/>
      </w:rPr>
    </w:lvl>
    <w:lvl w:ilvl="1">
      <w:start w:val="0"/>
      <w:numFmt w:val="bullet"/>
      <w:lvlText w:val="•"/>
      <w:lvlJc w:val="left"/>
      <w:pPr>
        <w:ind w:left="536" w:hanging="77"/>
      </w:pPr>
      <w:rPr>
        <w:rFonts w:hint="default"/>
        <w:lang w:val="sq-AL" w:eastAsia="en-US" w:bidi="ar-SA"/>
      </w:rPr>
    </w:lvl>
    <w:lvl w:ilvl="2">
      <w:start w:val="0"/>
      <w:numFmt w:val="bullet"/>
      <w:lvlText w:val="•"/>
      <w:lvlJc w:val="left"/>
      <w:pPr>
        <w:ind w:left="1053" w:hanging="77"/>
      </w:pPr>
      <w:rPr>
        <w:rFonts w:hint="default"/>
        <w:lang w:val="sq-AL" w:eastAsia="en-US" w:bidi="ar-SA"/>
      </w:rPr>
    </w:lvl>
    <w:lvl w:ilvl="3">
      <w:start w:val="0"/>
      <w:numFmt w:val="bullet"/>
      <w:lvlText w:val="•"/>
      <w:lvlJc w:val="left"/>
      <w:pPr>
        <w:ind w:left="1569" w:hanging="77"/>
      </w:pPr>
      <w:rPr>
        <w:rFonts w:hint="default"/>
        <w:lang w:val="sq-AL" w:eastAsia="en-US" w:bidi="ar-SA"/>
      </w:rPr>
    </w:lvl>
    <w:lvl w:ilvl="4">
      <w:start w:val="0"/>
      <w:numFmt w:val="bullet"/>
      <w:lvlText w:val="•"/>
      <w:lvlJc w:val="left"/>
      <w:pPr>
        <w:ind w:left="2086" w:hanging="77"/>
      </w:pPr>
      <w:rPr>
        <w:rFonts w:hint="default"/>
        <w:lang w:val="sq-AL" w:eastAsia="en-US" w:bidi="ar-SA"/>
      </w:rPr>
    </w:lvl>
    <w:lvl w:ilvl="5">
      <w:start w:val="0"/>
      <w:numFmt w:val="bullet"/>
      <w:lvlText w:val="•"/>
      <w:lvlJc w:val="left"/>
      <w:pPr>
        <w:ind w:left="2603" w:hanging="77"/>
      </w:pPr>
      <w:rPr>
        <w:rFonts w:hint="default"/>
        <w:lang w:val="sq-AL" w:eastAsia="en-US" w:bidi="ar-SA"/>
      </w:rPr>
    </w:lvl>
    <w:lvl w:ilvl="6">
      <w:start w:val="0"/>
      <w:numFmt w:val="bullet"/>
      <w:lvlText w:val="•"/>
      <w:lvlJc w:val="left"/>
      <w:pPr>
        <w:ind w:left="3119" w:hanging="77"/>
      </w:pPr>
      <w:rPr>
        <w:rFonts w:hint="default"/>
        <w:lang w:val="sq-AL" w:eastAsia="en-US" w:bidi="ar-SA"/>
      </w:rPr>
    </w:lvl>
    <w:lvl w:ilvl="7">
      <w:start w:val="0"/>
      <w:numFmt w:val="bullet"/>
      <w:lvlText w:val="•"/>
      <w:lvlJc w:val="left"/>
      <w:pPr>
        <w:ind w:left="3636" w:hanging="77"/>
      </w:pPr>
      <w:rPr>
        <w:rFonts w:hint="default"/>
        <w:lang w:val="sq-AL" w:eastAsia="en-US" w:bidi="ar-SA"/>
      </w:rPr>
    </w:lvl>
    <w:lvl w:ilvl="8">
      <w:start w:val="0"/>
      <w:numFmt w:val="bullet"/>
      <w:lvlText w:val="•"/>
      <w:lvlJc w:val="left"/>
      <w:pPr>
        <w:ind w:left="4152" w:hanging="77"/>
      </w:pPr>
      <w:rPr>
        <w:rFonts w:hint="default"/>
        <w:lang w:val="sq-A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sq-A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8"/>
      <w:szCs w:val="18"/>
      <w:lang w:val="sq-AL" w:eastAsia="en-US" w:bidi="ar-SA"/>
    </w:rPr>
  </w:style>
  <w:style w:styleId="Title" w:type="paragraph">
    <w:name w:val="Title"/>
    <w:basedOn w:val="Normal"/>
    <w:uiPriority w:val="1"/>
    <w:qFormat/>
    <w:pPr>
      <w:spacing w:before="78"/>
      <w:ind w:left="1891"/>
    </w:pPr>
    <w:rPr>
      <w:rFonts w:ascii="Times New Roman" w:hAnsi="Times New Roman" w:eastAsia="Times New Roman" w:cs="Times New Roman"/>
      <w:b/>
      <w:bCs/>
      <w:sz w:val="24"/>
      <w:szCs w:val="24"/>
      <w:lang w:val="sq-A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q-A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sq-A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Work4</dc:creator>
  <dc:title>60d4dda22227f61b682e4114463e9df41e10f7cfe6f0df9ab6e4940b931bab2a.xlsx</dc:title>
  <dcterms:created xsi:type="dcterms:W3CDTF">2025-09-02T12:41:01Z</dcterms:created>
  <dcterms:modified xsi:type="dcterms:W3CDTF">2025-09-02T12:41:01Z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2025-09-02T00:00:00Z</vt:filetime>
  </property>
  <property fmtid="{D5CDD505-2E9C-101B-9397-08002B2CF9AE}" pid="5" name="Producer">
    <vt:lpwstr>www.ilovepdf.com</vt:lpwstr>
  </property>
</Properties>
</file>